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37C8881">
      <w:pPr>
        <w:widowControl/>
        <w:kinsoku w:val="0"/>
        <w:autoSpaceDE w:val="0"/>
        <w:autoSpaceDN w:val="0"/>
        <w:adjustRightInd w:val="0"/>
        <w:snapToGrid w:val="0"/>
        <w:spacing w:line="360" w:lineRule="auto"/>
        <w:ind w:firstLine="0" w:firstLineChars="0"/>
        <w:jc w:val="center"/>
        <w:textAlignment w:val="baseline"/>
        <w:rPr>
          <w:rFonts w:hint="eastAsia" w:ascii="宋体" w:hAnsi="宋体" w:eastAsia="宋体" w:cs="宋体"/>
          <w:b/>
          <w:bCs/>
          <w:snapToGrid w:val="0"/>
          <w:color w:val="000000"/>
          <w:kern w:val="0"/>
          <w:sz w:val="40"/>
          <w:szCs w:val="40"/>
          <w:lang w:val="en-US" w:eastAsia="zh-CN"/>
        </w:rPr>
      </w:pPr>
      <w:bookmarkStart w:id="1" w:name="_GoBack"/>
      <w:bookmarkEnd w:id="1"/>
      <w:r>
        <w:rPr>
          <w:rFonts w:hint="eastAsia" w:ascii="宋体" w:hAnsi="宋体" w:eastAsia="宋体" w:cs="宋体"/>
          <w:b/>
          <w:bCs/>
          <w:snapToGrid w:val="0"/>
          <w:color w:val="000000"/>
          <w:kern w:val="0"/>
          <w:sz w:val="40"/>
          <w:szCs w:val="40"/>
          <w:lang w:val="en-US" w:eastAsia="zh-CN"/>
        </w:rPr>
        <w:t>中山市第二人民医院2025年下半年办公家具采购项目</w:t>
      </w:r>
    </w:p>
    <w:p w14:paraId="22E77FF0">
      <w:pPr>
        <w:widowControl/>
        <w:kinsoku w:val="0"/>
        <w:autoSpaceDE w:val="0"/>
        <w:autoSpaceDN w:val="0"/>
        <w:adjustRightInd w:val="0"/>
        <w:snapToGrid w:val="0"/>
        <w:spacing w:line="360" w:lineRule="auto"/>
        <w:ind w:firstLine="0" w:firstLineChars="0"/>
        <w:jc w:val="center"/>
        <w:textAlignment w:val="baseline"/>
        <w:rPr>
          <w:rFonts w:hint="eastAsia" w:ascii="宋体" w:hAnsi="宋体" w:eastAsia="宋体" w:cs="宋体"/>
          <w:b/>
          <w:bCs/>
          <w:snapToGrid w:val="0"/>
          <w:color w:val="000000"/>
          <w:kern w:val="0"/>
          <w:sz w:val="40"/>
          <w:szCs w:val="40"/>
          <w:lang w:val="en-US" w:eastAsia="zh-CN"/>
        </w:rPr>
      </w:pPr>
      <w:r>
        <w:rPr>
          <w:rFonts w:hint="eastAsia" w:ascii="宋体" w:hAnsi="宋体" w:eastAsia="宋体" w:cs="宋体"/>
          <w:b/>
          <w:bCs/>
          <w:snapToGrid w:val="0"/>
          <w:color w:val="000000"/>
          <w:kern w:val="0"/>
          <w:sz w:val="40"/>
          <w:szCs w:val="40"/>
          <w:lang w:val="en-US" w:eastAsia="zh-CN"/>
        </w:rPr>
        <w:t>需求书</w:t>
      </w:r>
    </w:p>
    <w:p w14:paraId="1926EB38">
      <w:pPr>
        <w:pStyle w:val="2"/>
      </w:pPr>
    </w:p>
    <w:p w14:paraId="7701A5BE">
      <w:pPr>
        <w:widowControl w:val="0"/>
        <w:kinsoku/>
        <w:autoSpaceDE w:val="0"/>
        <w:autoSpaceDN w:val="0"/>
        <w:adjustRightInd w:val="0"/>
        <w:snapToGrid w:val="0"/>
        <w:spacing w:line="560" w:lineRule="exact"/>
        <w:ind w:firstLine="640" w:firstLineChars="200"/>
        <w:jc w:val="both"/>
        <w:textAlignment w:val="auto"/>
        <w:rPr>
          <w:rFonts w:hint="eastAsia" w:ascii="黑体" w:hAnsi="黑体" w:eastAsia="黑体" w:cs="黑体"/>
          <w:snapToGrid/>
          <w:color w:val="000000"/>
          <w:kern w:val="2"/>
          <w:sz w:val="32"/>
          <w:szCs w:val="32"/>
          <w:lang w:val="en-US" w:eastAsia="zh-CN"/>
        </w:rPr>
      </w:pPr>
      <w:r>
        <w:rPr>
          <w:rFonts w:hint="eastAsia" w:ascii="黑体" w:hAnsi="黑体" w:eastAsia="黑体" w:cs="黑体"/>
          <w:snapToGrid/>
          <w:color w:val="000000"/>
          <w:kern w:val="2"/>
          <w:sz w:val="32"/>
          <w:szCs w:val="32"/>
          <w:lang w:val="en-US" w:eastAsia="zh-CN"/>
        </w:rPr>
        <w:t>一、项目概况:</w:t>
      </w:r>
    </w:p>
    <w:p w14:paraId="31C56BD7">
      <w:pPr>
        <w:keepNext w:val="0"/>
        <w:keepLines w:val="0"/>
        <w:pageBreakBefore w:val="0"/>
        <w:widowControl w:val="0"/>
        <w:kinsoku/>
        <w:wordWrap/>
        <w:overflowPunct/>
        <w:topLinePunct w:val="0"/>
        <w:autoSpaceDE/>
        <w:autoSpaceDN/>
        <w:bidi w:val="0"/>
        <w:adjustRightInd/>
        <w:snapToGrid/>
        <w:spacing w:line="380" w:lineRule="exact"/>
        <w:ind w:left="0" w:leftChars="0" w:firstLine="616" w:firstLineChars="200"/>
        <w:textAlignment w:val="auto"/>
        <w:rPr>
          <w:rFonts w:hint="eastAsia" w:ascii="仿宋_GB2312" w:hAnsi="仿宋_GB2312" w:eastAsia="仿宋_GB2312" w:cs="Times New Roman"/>
          <w:spacing w:val="-6"/>
          <w:kern w:val="2"/>
          <w:sz w:val="32"/>
          <w:szCs w:val="20"/>
          <w:lang w:val="en-US" w:eastAsia="zh-CN" w:bidi="ar-SA"/>
        </w:rPr>
      </w:pPr>
      <w:r>
        <w:rPr>
          <w:rFonts w:hint="eastAsia" w:ascii="仿宋_GB2312" w:hAnsi="仿宋_GB2312" w:eastAsia="仿宋_GB2312" w:cs="Times New Roman"/>
          <w:spacing w:val="-6"/>
          <w:kern w:val="2"/>
          <w:sz w:val="32"/>
          <w:szCs w:val="20"/>
          <w:lang w:val="en-US" w:eastAsia="zh-CN" w:bidi="ar-SA"/>
        </w:rPr>
        <w:t>根据我院发展总体部署，旧肺科门诊区域进行改造装修后开展健康管理中心业务，需配置办公家具，用于新科室开科使用，现申请购置办公家具一批。</w:t>
      </w:r>
    </w:p>
    <w:p w14:paraId="13ECF616">
      <w:pPr>
        <w:keepNext w:val="0"/>
        <w:keepLines w:val="0"/>
        <w:pageBreakBefore w:val="0"/>
        <w:numPr>
          <w:ilvl w:val="0"/>
          <w:numId w:val="0"/>
        </w:numPr>
        <w:kinsoku/>
        <w:wordWrap/>
        <w:overflowPunct/>
        <w:topLinePunct w:val="0"/>
        <w:autoSpaceDE/>
        <w:autoSpaceDN/>
        <w:bidi w:val="0"/>
        <w:adjustRightInd/>
        <w:snapToGrid/>
        <w:spacing w:line="380" w:lineRule="exact"/>
        <w:ind w:firstLine="640" w:firstLineChars="200"/>
        <w:jc w:val="both"/>
        <w:rPr>
          <w:rFonts w:hint="eastAsia" w:ascii="仿宋_GB2312" w:hAnsi="仿宋_GB2312" w:eastAsia="仿宋_GB2312" w:cs="Times New Roman"/>
          <w:spacing w:val="-6"/>
          <w:kern w:val="2"/>
          <w:sz w:val="32"/>
          <w:szCs w:val="20"/>
          <w:lang w:val="en-US" w:eastAsia="zh-CN" w:bidi="ar-SA"/>
        </w:rPr>
      </w:pPr>
      <w:r>
        <w:rPr>
          <w:rFonts w:hint="eastAsia" w:ascii="黑体" w:hAnsi="黑体" w:eastAsia="黑体" w:cs="黑体"/>
          <w:snapToGrid/>
          <w:color w:val="000000"/>
          <w:kern w:val="2"/>
          <w:sz w:val="32"/>
          <w:szCs w:val="32"/>
          <w:lang w:val="en-US" w:eastAsia="zh-CN"/>
        </w:rPr>
        <w:t>二、项目名称：</w:t>
      </w:r>
      <w:r>
        <w:rPr>
          <w:rFonts w:hint="eastAsia" w:ascii="仿宋_GB2312" w:hAnsi="仿宋_GB2312" w:eastAsia="仿宋_GB2312" w:cs="Times New Roman"/>
          <w:spacing w:val="-6"/>
          <w:kern w:val="2"/>
          <w:sz w:val="32"/>
          <w:szCs w:val="20"/>
          <w:lang w:val="en-US" w:eastAsia="zh-CN" w:bidi="ar-SA"/>
        </w:rPr>
        <w:t>中山市第二人民医院</w:t>
      </w:r>
      <w:r>
        <w:rPr>
          <w:rFonts w:hint="eastAsia" w:ascii="Times New Roman" w:hAnsi="Times New Roman" w:eastAsia="仿宋_GB2312" w:cs="Times New Roman"/>
          <w:spacing w:val="-6"/>
          <w:kern w:val="2"/>
          <w:sz w:val="32"/>
          <w:szCs w:val="20"/>
          <w:lang w:val="en-US" w:eastAsia="zh-CN" w:bidi="ar-SA"/>
        </w:rPr>
        <w:t>2025</w:t>
      </w:r>
      <w:r>
        <w:rPr>
          <w:rFonts w:hint="eastAsia" w:ascii="仿宋_GB2312" w:hAnsi="仿宋_GB2312" w:eastAsia="仿宋_GB2312" w:cs="Times New Roman"/>
          <w:spacing w:val="-6"/>
          <w:kern w:val="2"/>
          <w:sz w:val="32"/>
          <w:szCs w:val="20"/>
          <w:lang w:val="en-US" w:eastAsia="zh-CN" w:bidi="ar-SA"/>
        </w:rPr>
        <w:t>年下半年办公家具采购项目</w:t>
      </w:r>
    </w:p>
    <w:p w14:paraId="5A861384">
      <w:pPr>
        <w:pStyle w:val="2"/>
        <w:keepNext w:val="0"/>
        <w:keepLines w:val="0"/>
        <w:pageBreakBefore w:val="0"/>
        <w:numPr>
          <w:ilvl w:val="0"/>
          <w:numId w:val="0"/>
        </w:numPr>
        <w:kinsoku/>
        <w:wordWrap/>
        <w:overflowPunct/>
        <w:topLinePunct w:val="0"/>
        <w:autoSpaceDE/>
        <w:autoSpaceDN/>
        <w:bidi w:val="0"/>
        <w:adjustRightInd/>
        <w:snapToGrid/>
        <w:spacing w:line="380" w:lineRule="exact"/>
        <w:ind w:firstLine="640" w:firstLineChars="200"/>
        <w:rPr>
          <w:rFonts w:hint="eastAsia" w:ascii="仿宋_GB2312" w:hAnsi="仿宋_GB2312" w:eastAsia="仿宋_GB2312" w:cs="Times New Roman"/>
          <w:spacing w:val="-6"/>
          <w:kern w:val="2"/>
          <w:sz w:val="28"/>
          <w:szCs w:val="28"/>
          <w:lang w:val="en-US" w:eastAsia="zh-CN" w:bidi="ar-SA"/>
        </w:rPr>
      </w:pPr>
      <w:r>
        <w:rPr>
          <w:rFonts w:hint="eastAsia" w:ascii="黑体" w:hAnsi="黑体" w:eastAsia="黑体" w:cs="黑体"/>
          <w:snapToGrid/>
          <w:color w:val="000000"/>
          <w:kern w:val="2"/>
          <w:sz w:val="32"/>
          <w:szCs w:val="32"/>
          <w:lang w:val="en-US" w:eastAsia="zh-CN" w:bidi="ar-SA"/>
        </w:rPr>
        <w:t>三、项目服务地点：</w:t>
      </w:r>
      <w:r>
        <w:rPr>
          <w:rFonts w:hint="eastAsia" w:ascii="仿宋_GB2312" w:hAnsi="仿宋_GB2312" w:eastAsia="仿宋_GB2312" w:cs="Times New Roman"/>
          <w:spacing w:val="-6"/>
          <w:kern w:val="2"/>
          <w:sz w:val="32"/>
          <w:szCs w:val="20"/>
          <w:lang w:val="en-US" w:eastAsia="zh-CN" w:bidi="ar-SA"/>
        </w:rPr>
        <w:t>中山市第二人民医院健康管理中心</w:t>
      </w:r>
    </w:p>
    <w:p w14:paraId="394D7EA2">
      <w:pPr>
        <w:pStyle w:val="2"/>
        <w:keepNext w:val="0"/>
        <w:keepLines w:val="0"/>
        <w:pageBreakBefore w:val="0"/>
        <w:widowControl w:val="0"/>
        <w:numPr>
          <w:ilvl w:val="0"/>
          <w:numId w:val="0"/>
        </w:numPr>
        <w:kinsoku/>
        <w:wordWrap/>
        <w:overflowPunct/>
        <w:topLinePunct w:val="0"/>
        <w:autoSpaceDE/>
        <w:autoSpaceDN/>
        <w:bidi w:val="0"/>
        <w:adjustRightInd/>
        <w:snapToGrid/>
        <w:spacing w:line="380" w:lineRule="exact"/>
        <w:ind w:firstLine="640" w:firstLineChars="200"/>
        <w:textAlignment w:val="auto"/>
        <w:rPr>
          <w:rFonts w:hint="eastAsia"/>
        </w:rPr>
      </w:pPr>
      <w:r>
        <w:rPr>
          <w:rFonts w:hint="eastAsia" w:ascii="黑体" w:hAnsi="黑体" w:eastAsia="黑体" w:cs="黑体"/>
          <w:snapToGrid/>
          <w:color w:val="000000"/>
          <w:kern w:val="2"/>
          <w:sz w:val="32"/>
          <w:szCs w:val="32"/>
          <w:lang w:val="en-US" w:eastAsia="zh-CN" w:bidi="ar-SA"/>
        </w:rPr>
        <w:t>四、项目预算：</w:t>
      </w:r>
      <w:r>
        <w:rPr>
          <w:rFonts w:hint="default" w:ascii="Times New Roman" w:hAnsi="Times New Roman" w:eastAsia="仿宋_GB2312" w:cs="Times New Roman"/>
          <w:spacing w:val="-6"/>
          <w:kern w:val="2"/>
          <w:sz w:val="32"/>
          <w:szCs w:val="20"/>
          <w:lang w:val="en-US" w:eastAsia="zh-CN" w:bidi="ar-SA"/>
        </w:rPr>
        <w:t xml:space="preserve">48420.00 </w:t>
      </w:r>
      <w:r>
        <w:rPr>
          <w:rFonts w:hint="eastAsia" w:ascii="仿宋_GB2312" w:hAnsi="仿宋_GB2312" w:eastAsia="仿宋_GB2312" w:cs="Times New Roman"/>
          <w:spacing w:val="-6"/>
          <w:kern w:val="2"/>
          <w:sz w:val="32"/>
          <w:szCs w:val="20"/>
          <w:lang w:val="en-US" w:eastAsia="zh-CN" w:bidi="ar-SA"/>
        </w:rPr>
        <w:t>元</w:t>
      </w:r>
    </w:p>
    <w:p w14:paraId="36EACE64">
      <w:pPr>
        <w:pStyle w:val="2"/>
        <w:keepNext w:val="0"/>
        <w:keepLines w:val="0"/>
        <w:pageBreakBefore w:val="0"/>
        <w:widowControl w:val="0"/>
        <w:numPr>
          <w:ilvl w:val="0"/>
          <w:numId w:val="0"/>
        </w:numPr>
        <w:kinsoku/>
        <w:wordWrap/>
        <w:overflowPunct/>
        <w:topLinePunct w:val="0"/>
        <w:autoSpaceDE/>
        <w:autoSpaceDN/>
        <w:bidi w:val="0"/>
        <w:adjustRightInd/>
        <w:snapToGrid/>
        <w:spacing w:line="380" w:lineRule="exact"/>
        <w:ind w:firstLine="640" w:firstLineChars="200"/>
        <w:textAlignment w:val="auto"/>
        <w:rPr>
          <w:rFonts w:hint="eastAsia" w:ascii="黑体" w:hAnsi="黑体" w:eastAsia="黑体" w:cs="黑体"/>
          <w:snapToGrid/>
          <w:color w:val="000000"/>
          <w:kern w:val="2"/>
          <w:sz w:val="32"/>
          <w:szCs w:val="32"/>
          <w:lang w:val="en-US" w:eastAsia="zh-CN" w:bidi="ar-SA"/>
        </w:rPr>
      </w:pPr>
      <w:r>
        <w:rPr>
          <w:rFonts w:hint="eastAsia" w:ascii="黑体" w:hAnsi="黑体" w:eastAsia="黑体" w:cs="黑体"/>
          <w:snapToGrid/>
          <w:color w:val="000000"/>
          <w:kern w:val="2"/>
          <w:sz w:val="32"/>
          <w:szCs w:val="32"/>
          <w:lang w:val="en-US" w:eastAsia="zh-CN" w:bidi="ar-SA"/>
        </w:rPr>
        <w:t>五、项目服务要求：</w:t>
      </w:r>
    </w:p>
    <w:p w14:paraId="046930B7">
      <w:pPr>
        <w:pStyle w:val="10"/>
        <w:keepNext w:val="0"/>
        <w:keepLines w:val="0"/>
        <w:pageBreakBefore w:val="0"/>
        <w:numPr>
          <w:ilvl w:val="0"/>
          <w:numId w:val="0"/>
        </w:numPr>
        <w:kinsoku/>
        <w:wordWrap/>
        <w:overflowPunct/>
        <w:topLinePunct w:val="0"/>
        <w:bidi w:val="0"/>
        <w:snapToGrid/>
        <w:spacing w:line="400" w:lineRule="exact"/>
        <w:ind w:firstLine="924" w:firstLineChars="300"/>
        <w:rPr>
          <w:rFonts w:hint="default" w:ascii="Times New Roman" w:hAnsi="Times New Roman" w:eastAsia="楷体_GB2312" w:cs="Times New Roman"/>
          <w:color w:val="auto"/>
          <w:spacing w:val="-6"/>
          <w:kern w:val="2"/>
          <w:sz w:val="32"/>
          <w:szCs w:val="20"/>
          <w:lang w:val="en-US" w:eastAsia="zh-CN" w:bidi="ar-SA"/>
        </w:rPr>
      </w:pPr>
      <w:r>
        <w:rPr>
          <w:rFonts w:hint="default" w:ascii="Times New Roman" w:hAnsi="Times New Roman" w:eastAsia="楷体_GB2312" w:cs="Times New Roman"/>
          <w:color w:val="auto"/>
          <w:spacing w:val="-6"/>
          <w:kern w:val="2"/>
          <w:sz w:val="32"/>
          <w:szCs w:val="20"/>
          <w:lang w:val="en-US" w:eastAsia="zh-CN" w:bidi="ar-SA"/>
        </w:rPr>
        <w:t>1.</w:t>
      </w:r>
      <w:r>
        <w:rPr>
          <w:rFonts w:hint="eastAsia" w:ascii="楷体_GB2312" w:hAnsi="楷体_GB2312" w:eastAsia="楷体_GB2312" w:cs="楷体_GB2312"/>
          <w:color w:val="auto"/>
          <w:spacing w:val="-6"/>
          <w:kern w:val="2"/>
          <w:sz w:val="32"/>
          <w:szCs w:val="20"/>
          <w:lang w:val="en-US" w:eastAsia="zh-CN" w:bidi="ar-SA"/>
        </w:rPr>
        <w:t>采购项目清单：</w:t>
      </w:r>
    </w:p>
    <w:tbl>
      <w:tblPr>
        <w:tblStyle w:val="8"/>
        <w:tblpPr w:leftFromText="180" w:rightFromText="180" w:vertAnchor="text" w:horzAnchor="page" w:tblpX="780" w:tblpY="642"/>
        <w:tblOverlap w:val="never"/>
        <w:tblW w:w="10871"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716"/>
        <w:gridCol w:w="1118"/>
        <w:gridCol w:w="1894"/>
        <w:gridCol w:w="3187"/>
        <w:gridCol w:w="1669"/>
        <w:gridCol w:w="750"/>
        <w:gridCol w:w="769"/>
        <w:gridCol w:w="768"/>
      </w:tblGrid>
      <w:tr w14:paraId="4503C86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50" w:hRule="exact"/>
        </w:trPr>
        <w:tc>
          <w:tcPr>
            <w:tcW w:w="7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E86E1C">
            <w:pPr>
              <w:keepNext w:val="0"/>
              <w:keepLines w:val="0"/>
              <w:pageBreakBefore w:val="0"/>
              <w:widowControl/>
              <w:suppressLineNumbers w:val="0"/>
              <w:kinsoku/>
              <w:wordWrap/>
              <w:overflowPunct/>
              <w:topLinePunct w:val="0"/>
              <w:bidi w:val="0"/>
              <w:snapToGrid/>
              <w:spacing w:line="400" w:lineRule="exact"/>
              <w:ind w:left="0" w:leftChars="0" w:firstLine="0" w:firstLineChars="0"/>
              <w:jc w:val="center"/>
              <w:textAlignment w:val="center"/>
              <w:rPr>
                <w:rFonts w:hint="eastAsia" w:ascii="宋体" w:hAnsi="宋体" w:eastAsia="宋体" w:cs="宋体"/>
                <w:b/>
                <w:bCs/>
                <w:i w:val="0"/>
                <w:iCs w:val="0"/>
                <w:color w:val="000000"/>
                <w:sz w:val="24"/>
                <w:szCs w:val="24"/>
                <w:u w:val="none"/>
              </w:rPr>
            </w:pPr>
            <w:bookmarkStart w:id="0" w:name="OLE_LINK1"/>
            <w:r>
              <w:rPr>
                <w:rFonts w:hint="eastAsia" w:ascii="宋体" w:hAnsi="宋体" w:eastAsia="宋体" w:cs="宋体"/>
                <w:b/>
                <w:bCs/>
                <w:i w:val="0"/>
                <w:iCs w:val="0"/>
                <w:color w:val="000000"/>
                <w:kern w:val="0"/>
                <w:sz w:val="24"/>
                <w:szCs w:val="24"/>
                <w:u w:val="none"/>
                <w:lang w:val="en-US" w:eastAsia="zh-CN" w:bidi="ar"/>
              </w:rPr>
              <w:t>序号</w:t>
            </w:r>
          </w:p>
        </w:tc>
        <w:tc>
          <w:tcPr>
            <w:tcW w:w="11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A85DE0">
            <w:pPr>
              <w:keepNext w:val="0"/>
              <w:keepLines w:val="0"/>
              <w:pageBreakBefore w:val="0"/>
              <w:widowControl/>
              <w:suppressLineNumbers w:val="0"/>
              <w:kinsoku/>
              <w:wordWrap/>
              <w:overflowPunct/>
              <w:topLinePunct w:val="0"/>
              <w:bidi w:val="0"/>
              <w:snapToGrid/>
              <w:spacing w:line="400" w:lineRule="exact"/>
              <w:ind w:left="0" w:leftChars="0" w:firstLine="0" w:firstLineChars="0"/>
              <w:jc w:val="center"/>
              <w:textAlignment w:val="center"/>
              <w:rPr>
                <w:rFonts w:hint="eastAsia" w:ascii="宋体" w:hAnsi="宋体" w:eastAsia="宋体" w:cs="宋体"/>
                <w:b/>
                <w:bCs/>
                <w:i w:val="0"/>
                <w:iCs w:val="0"/>
                <w:color w:val="000000"/>
                <w:kern w:val="0"/>
                <w:sz w:val="24"/>
                <w:szCs w:val="24"/>
                <w:u w:val="none"/>
                <w:lang w:val="en-US" w:eastAsia="zh-CN" w:bidi="ar"/>
              </w:rPr>
            </w:pPr>
            <w:r>
              <w:rPr>
                <w:rFonts w:hint="eastAsia" w:ascii="宋体" w:hAnsi="宋体" w:eastAsia="宋体" w:cs="宋体"/>
                <w:b/>
                <w:bCs/>
                <w:i w:val="0"/>
                <w:iCs w:val="0"/>
                <w:color w:val="000000"/>
                <w:kern w:val="0"/>
                <w:sz w:val="24"/>
                <w:szCs w:val="24"/>
                <w:u w:val="none"/>
                <w:lang w:val="en-US" w:eastAsia="zh-CN" w:bidi="ar"/>
              </w:rPr>
              <w:t>物资</w:t>
            </w:r>
          </w:p>
          <w:p w14:paraId="250F4A78">
            <w:pPr>
              <w:keepNext w:val="0"/>
              <w:keepLines w:val="0"/>
              <w:pageBreakBefore w:val="0"/>
              <w:widowControl/>
              <w:suppressLineNumbers w:val="0"/>
              <w:kinsoku/>
              <w:wordWrap/>
              <w:overflowPunct/>
              <w:topLinePunct w:val="0"/>
              <w:bidi w:val="0"/>
              <w:snapToGrid/>
              <w:spacing w:line="400" w:lineRule="exact"/>
              <w:ind w:left="0" w:leftChars="0" w:firstLine="0" w:firstLineChars="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名称</w:t>
            </w:r>
          </w:p>
        </w:tc>
        <w:tc>
          <w:tcPr>
            <w:tcW w:w="18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A88A19">
            <w:pPr>
              <w:keepNext w:val="0"/>
              <w:keepLines w:val="0"/>
              <w:pageBreakBefore w:val="0"/>
              <w:widowControl/>
              <w:suppressLineNumbers w:val="0"/>
              <w:kinsoku/>
              <w:wordWrap/>
              <w:overflowPunct/>
              <w:topLinePunct w:val="0"/>
              <w:bidi w:val="0"/>
              <w:snapToGrid/>
              <w:spacing w:line="400" w:lineRule="exact"/>
              <w:ind w:left="0" w:leftChars="0" w:firstLine="0" w:firstLineChars="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规格</w:t>
            </w:r>
          </w:p>
        </w:tc>
        <w:tc>
          <w:tcPr>
            <w:tcW w:w="31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99BCEA">
            <w:pPr>
              <w:keepNext w:val="0"/>
              <w:keepLines w:val="0"/>
              <w:pageBreakBefore w:val="0"/>
              <w:widowControl/>
              <w:suppressLineNumbers w:val="0"/>
              <w:kinsoku/>
              <w:wordWrap/>
              <w:overflowPunct/>
              <w:topLinePunct w:val="0"/>
              <w:bidi w:val="0"/>
              <w:snapToGrid/>
              <w:spacing w:line="400" w:lineRule="exact"/>
              <w:ind w:left="0" w:leftChars="0" w:firstLine="0" w:firstLineChars="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参数要求</w:t>
            </w:r>
          </w:p>
        </w:tc>
        <w:tc>
          <w:tcPr>
            <w:tcW w:w="16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C8A626">
            <w:pPr>
              <w:keepNext w:val="0"/>
              <w:keepLines w:val="0"/>
              <w:pageBreakBefore w:val="0"/>
              <w:widowControl/>
              <w:suppressLineNumbers w:val="0"/>
              <w:kinsoku/>
              <w:wordWrap/>
              <w:overflowPunct/>
              <w:topLinePunct w:val="0"/>
              <w:bidi w:val="0"/>
              <w:snapToGrid/>
              <w:spacing w:line="400" w:lineRule="exact"/>
              <w:ind w:left="0" w:leftChars="0" w:firstLine="0" w:firstLineChars="0"/>
              <w:jc w:val="center"/>
              <w:textAlignment w:val="center"/>
              <w:rPr>
                <w:rFonts w:hint="eastAsia" w:ascii="宋体" w:hAnsi="宋体" w:eastAsia="宋体" w:cs="宋体"/>
                <w:b/>
                <w:bCs/>
                <w:i w:val="0"/>
                <w:iCs w:val="0"/>
                <w:color w:val="000000"/>
                <w:sz w:val="24"/>
                <w:szCs w:val="24"/>
                <w:u w:val="none"/>
                <w:lang w:val="en-US" w:eastAsia="zh-CN"/>
              </w:rPr>
            </w:pPr>
            <w:r>
              <w:rPr>
                <w:rFonts w:hint="eastAsia" w:ascii="宋体" w:hAnsi="宋体" w:eastAsia="宋体" w:cs="宋体"/>
                <w:b/>
                <w:bCs/>
                <w:i w:val="0"/>
                <w:iCs w:val="0"/>
                <w:color w:val="000000"/>
                <w:kern w:val="0"/>
                <w:sz w:val="24"/>
                <w:szCs w:val="24"/>
                <w:u w:val="none"/>
                <w:lang w:val="en-US" w:eastAsia="zh-CN" w:bidi="ar"/>
              </w:rPr>
              <w:t>拟采购物资  图片</w:t>
            </w: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96EA66">
            <w:pPr>
              <w:keepNext w:val="0"/>
              <w:keepLines w:val="0"/>
              <w:pageBreakBefore w:val="0"/>
              <w:widowControl/>
              <w:suppressLineNumbers w:val="0"/>
              <w:kinsoku/>
              <w:wordWrap/>
              <w:overflowPunct/>
              <w:topLinePunct w:val="0"/>
              <w:bidi w:val="0"/>
              <w:snapToGrid/>
              <w:spacing w:line="400" w:lineRule="exact"/>
              <w:ind w:left="0" w:leftChars="0" w:firstLine="0" w:firstLineChars="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单位</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034D41">
            <w:pPr>
              <w:keepNext w:val="0"/>
              <w:keepLines w:val="0"/>
              <w:pageBreakBefore w:val="0"/>
              <w:widowControl/>
              <w:suppressLineNumbers w:val="0"/>
              <w:kinsoku/>
              <w:wordWrap/>
              <w:overflowPunct/>
              <w:topLinePunct w:val="0"/>
              <w:bidi w:val="0"/>
              <w:snapToGrid/>
              <w:spacing w:line="400" w:lineRule="exact"/>
              <w:ind w:left="0" w:leftChars="0" w:firstLine="0" w:firstLineChars="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数量</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56DDC2">
            <w:pPr>
              <w:keepNext w:val="0"/>
              <w:keepLines w:val="0"/>
              <w:pageBreakBefore w:val="0"/>
              <w:widowControl/>
              <w:suppressLineNumbers w:val="0"/>
              <w:kinsoku/>
              <w:wordWrap/>
              <w:overflowPunct/>
              <w:topLinePunct w:val="0"/>
              <w:bidi w:val="0"/>
              <w:snapToGrid/>
              <w:spacing w:line="400" w:lineRule="exact"/>
              <w:ind w:left="0" w:leftChars="0" w:firstLine="0" w:firstLineChars="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备注</w:t>
            </w:r>
          </w:p>
        </w:tc>
      </w:tr>
      <w:tr w14:paraId="25ACDB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11" w:hRule="exact"/>
        </w:trPr>
        <w:tc>
          <w:tcPr>
            <w:tcW w:w="7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127CC5">
            <w:pPr>
              <w:keepNext w:val="0"/>
              <w:keepLines w:val="0"/>
              <w:pageBreakBefore w:val="0"/>
              <w:widowControl/>
              <w:suppressLineNumbers w:val="0"/>
              <w:kinsoku/>
              <w:wordWrap/>
              <w:overflowPunct/>
              <w:topLinePunct w:val="0"/>
              <w:autoSpaceDE/>
              <w:autoSpaceDN/>
              <w:bidi w:val="0"/>
              <w:adjustRightInd/>
              <w:snapToGrid/>
              <w:spacing w:line="240" w:lineRule="auto"/>
              <w:ind w:left="0" w:leftChars="0" w:firstLine="0" w:firstLineChars="0"/>
              <w:jc w:val="center"/>
              <w:textAlignment w:val="center"/>
              <w:rPr>
                <w:rFonts w:hint="eastAsia"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1</w:t>
            </w:r>
          </w:p>
        </w:tc>
        <w:tc>
          <w:tcPr>
            <w:tcW w:w="11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62F640">
            <w:pPr>
              <w:keepNext w:val="0"/>
              <w:keepLines w:val="0"/>
              <w:pageBreakBefore w:val="0"/>
              <w:widowControl/>
              <w:suppressLineNumbers w:val="0"/>
              <w:kinsoku/>
              <w:wordWrap/>
              <w:overflowPunct/>
              <w:topLinePunct w:val="0"/>
              <w:autoSpaceDE/>
              <w:autoSpaceDN/>
              <w:bidi w:val="0"/>
              <w:adjustRightInd/>
              <w:snapToGrid/>
              <w:spacing w:line="240" w:lineRule="auto"/>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办公椅</w:t>
            </w:r>
          </w:p>
        </w:tc>
        <w:tc>
          <w:tcPr>
            <w:tcW w:w="18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780762">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常规</w:t>
            </w:r>
          </w:p>
        </w:tc>
        <w:tc>
          <w:tcPr>
            <w:tcW w:w="3187" w:type="dxa"/>
            <w:tcBorders>
              <w:top w:val="single" w:color="000000" w:sz="4" w:space="0"/>
              <w:left w:val="single" w:color="000000" w:sz="4" w:space="0"/>
              <w:bottom w:val="single" w:color="000000" w:sz="4" w:space="0"/>
              <w:right w:val="single" w:color="000000" w:sz="4" w:space="0"/>
            </w:tcBorders>
            <w:shd w:val="clear" w:color="auto" w:fill="auto"/>
            <w:vAlign w:val="top"/>
          </w:tcPr>
          <w:p w14:paraId="49F23187">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left"/>
              <w:textAlignment w:val="center"/>
              <w:rPr>
                <w:rFonts w:hint="eastAsia" w:ascii="宋体" w:hAnsi="宋体" w:eastAsia="宋体" w:cs="宋体"/>
                <w:i w:val="0"/>
                <w:iCs w:val="0"/>
                <w:color w:val="000000"/>
                <w:kern w:val="0"/>
                <w:sz w:val="22"/>
                <w:szCs w:val="22"/>
                <w:u w:val="none"/>
                <w:lang w:val="en-US" w:eastAsia="zh-CN" w:bidi="ar"/>
              </w:rPr>
            </w:pPr>
          </w:p>
          <w:p w14:paraId="2B4FF78F">
            <w:pPr>
              <w:keepNext w:val="0"/>
              <w:keepLines w:val="0"/>
              <w:pageBreakBefore w:val="0"/>
              <w:widowControl/>
              <w:suppressLineNumbers w:val="0"/>
              <w:kinsoku/>
              <w:wordWrap/>
              <w:overflowPunct/>
              <w:topLinePunct w:val="0"/>
              <w:autoSpaceDE/>
              <w:autoSpaceDN/>
              <w:bidi w:val="0"/>
              <w:adjustRightInd/>
              <w:snapToGrid/>
              <w:spacing w:line="240" w:lineRule="auto"/>
              <w:ind w:firstLine="0" w:firstLineChars="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1、优质布椅，椅面采用优质麻绒面料，采用55#高密度、弹性海绵；2、平稳、无漏气，无噪音，角度调节灵活、可靠；</w:t>
            </w:r>
          </w:p>
        </w:tc>
        <w:tc>
          <w:tcPr>
            <w:tcW w:w="1669" w:type="dxa"/>
            <w:tcBorders>
              <w:top w:val="single" w:color="000000" w:sz="4" w:space="0"/>
              <w:left w:val="single" w:color="000000" w:sz="4" w:space="0"/>
              <w:bottom w:val="single" w:color="000000" w:sz="4" w:space="0"/>
              <w:right w:val="single" w:color="000000" w:sz="4" w:space="0"/>
            </w:tcBorders>
            <w:shd w:val="clear" w:color="auto" w:fill="auto"/>
            <w:vAlign w:val="top"/>
          </w:tcPr>
          <w:p w14:paraId="53BF3B50">
            <w:pPr>
              <w:keepNext w:val="0"/>
              <w:keepLines w:val="0"/>
              <w:widowControl/>
              <w:suppressLineNumbers w:val="0"/>
              <w:spacing w:afterAutospacing="0" w:line="240" w:lineRule="auto"/>
              <w:ind w:firstLine="0" w:firstLineChars="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250190</wp:posOffset>
                  </wp:positionH>
                  <wp:positionV relativeFrom="paragraph">
                    <wp:posOffset>195580</wp:posOffset>
                  </wp:positionV>
                  <wp:extent cx="480060" cy="640080"/>
                  <wp:effectExtent l="0" t="0" r="15240" b="7620"/>
                  <wp:wrapNone/>
                  <wp:docPr id="4" name="Picture_1"/>
                  <wp:cNvGraphicFramePr/>
                  <a:graphic xmlns:a="http://schemas.openxmlformats.org/drawingml/2006/main">
                    <a:graphicData uri="http://schemas.openxmlformats.org/drawingml/2006/picture">
                      <pic:pic xmlns:pic="http://schemas.openxmlformats.org/drawingml/2006/picture">
                        <pic:nvPicPr>
                          <pic:cNvPr id="4" name="Picture_1"/>
                          <pic:cNvPicPr/>
                        </pic:nvPicPr>
                        <pic:blipFill>
                          <a:blip r:embed="rId12"/>
                          <a:stretch>
                            <a:fillRect/>
                          </a:stretch>
                        </pic:blipFill>
                        <pic:spPr>
                          <a:xfrm>
                            <a:off x="0" y="0"/>
                            <a:ext cx="480060" cy="640080"/>
                          </a:xfrm>
                          <a:prstGeom prst="rect">
                            <a:avLst/>
                          </a:prstGeom>
                          <a:noFill/>
                          <a:ln>
                            <a:noFill/>
                          </a:ln>
                        </pic:spPr>
                      </pic:pic>
                    </a:graphicData>
                  </a:graphic>
                </wp:anchor>
              </w:drawing>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br w:type="textWrapping"/>
            </w: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1E32E3">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000000"/>
                <w:sz w:val="22"/>
                <w:szCs w:val="22"/>
                <w:u w:val="none"/>
              </w:rPr>
            </w:pPr>
            <w:r>
              <w:rPr>
                <w:rFonts w:hint="eastAsia" w:ascii="仿宋_GB2312" w:hAnsi="仿宋_GB2312" w:eastAsia="仿宋_GB2312" w:cs="Times New Roman"/>
                <w:spacing w:val="-6"/>
                <w:kern w:val="2"/>
                <w:sz w:val="32"/>
                <w:szCs w:val="20"/>
                <w:lang w:val="en-US" w:eastAsia="zh-CN" w:bidi="ar-SA"/>
              </w:rPr>
              <w:t>张</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CC7941">
            <w:pPr>
              <w:keepNext w:val="0"/>
              <w:keepLines w:val="0"/>
              <w:widowControl/>
              <w:suppressLineNumbers w:val="0"/>
              <w:spacing w:line="240" w:lineRule="auto"/>
              <w:ind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33A12B">
            <w:pPr>
              <w:spacing w:line="240" w:lineRule="auto"/>
              <w:ind w:left="0" w:leftChars="0" w:firstLine="0" w:firstLineChars="0"/>
              <w:jc w:val="center"/>
              <w:rPr>
                <w:rFonts w:hint="eastAsia" w:ascii="宋体" w:hAnsi="宋体" w:eastAsia="宋体" w:cs="宋体"/>
                <w:i w:val="0"/>
                <w:iCs w:val="0"/>
                <w:color w:val="FF0000"/>
                <w:sz w:val="22"/>
                <w:szCs w:val="22"/>
                <w:u w:val="none"/>
              </w:rPr>
            </w:pPr>
          </w:p>
        </w:tc>
      </w:tr>
      <w:tr w14:paraId="2ABFBED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37" w:hRule="exact"/>
        </w:trPr>
        <w:tc>
          <w:tcPr>
            <w:tcW w:w="7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44D57A">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2</w:t>
            </w:r>
          </w:p>
        </w:tc>
        <w:tc>
          <w:tcPr>
            <w:tcW w:w="11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DC3F36">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诊台</w:t>
            </w:r>
          </w:p>
        </w:tc>
        <w:tc>
          <w:tcPr>
            <w:tcW w:w="18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A64451">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L型诊台；长:1400mm（副柜)*宽:700mm(副柜)*高700mm(副柜)</w:t>
            </w:r>
          </w:p>
        </w:tc>
        <w:tc>
          <w:tcPr>
            <w:tcW w:w="31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E92DEE">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1.面板：采用E1级三聚氰胺板,E1级三聚氰胺板甲醛释放量≤0.5mg/L，表面胶合强度≥0.6MPa，含水率≤5%，达到GB18580-2025《室内装饰装修材料人造板及其制品中甲醛释放限量》环保E1标准；</w:t>
            </w:r>
          </w:p>
        </w:tc>
        <w:tc>
          <w:tcPr>
            <w:tcW w:w="16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ED01AE">
            <w:pPr>
              <w:keepNext w:val="0"/>
              <w:keepLines w:val="0"/>
              <w:widowControl/>
              <w:suppressLineNumbers w:val="0"/>
              <w:spacing w:after="220" w:afterAutospacing="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33020</wp:posOffset>
                  </wp:positionH>
                  <wp:positionV relativeFrom="paragraph">
                    <wp:posOffset>488950</wp:posOffset>
                  </wp:positionV>
                  <wp:extent cx="810260" cy="831215"/>
                  <wp:effectExtent l="0" t="0" r="8890" b="6985"/>
                  <wp:wrapNone/>
                  <wp:docPr id="3" name="图片_7"/>
                  <wp:cNvGraphicFramePr/>
                  <a:graphic xmlns:a="http://schemas.openxmlformats.org/drawingml/2006/main">
                    <a:graphicData uri="http://schemas.openxmlformats.org/drawingml/2006/picture">
                      <pic:pic xmlns:pic="http://schemas.openxmlformats.org/drawingml/2006/picture">
                        <pic:nvPicPr>
                          <pic:cNvPr id="3" name="图片_7"/>
                          <pic:cNvPicPr/>
                        </pic:nvPicPr>
                        <pic:blipFill>
                          <a:blip r:embed="rId13"/>
                          <a:stretch>
                            <a:fillRect/>
                          </a:stretch>
                        </pic:blipFill>
                        <pic:spPr>
                          <a:xfrm>
                            <a:off x="0" y="0"/>
                            <a:ext cx="810260" cy="831215"/>
                          </a:xfrm>
                          <a:prstGeom prst="rect">
                            <a:avLst/>
                          </a:prstGeom>
                          <a:noFill/>
                          <a:ln>
                            <a:noFill/>
                          </a:ln>
                        </pic:spPr>
                      </pic:pic>
                    </a:graphicData>
                  </a:graphic>
                </wp:anchor>
              </w:drawing>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br w:type="textWrapping"/>
            </w: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94DAD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张</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A760C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14</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062DF6">
            <w:pPr>
              <w:jc w:val="center"/>
              <w:rPr>
                <w:rFonts w:hint="eastAsia" w:ascii="宋体" w:hAnsi="宋体" w:eastAsia="宋体" w:cs="宋体"/>
                <w:i w:val="0"/>
                <w:iCs w:val="0"/>
                <w:color w:val="000000"/>
                <w:sz w:val="22"/>
                <w:szCs w:val="22"/>
                <w:u w:val="none"/>
              </w:rPr>
            </w:pPr>
          </w:p>
        </w:tc>
      </w:tr>
      <w:tr w14:paraId="3909F6A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45" w:hRule="atLeast"/>
        </w:trPr>
        <w:tc>
          <w:tcPr>
            <w:tcW w:w="7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94DCB4">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1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9DD1C7">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办公台</w:t>
            </w:r>
          </w:p>
        </w:tc>
        <w:tc>
          <w:tcPr>
            <w:tcW w:w="18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E69308">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长1200mm*宽600mm*高760mm</w:t>
            </w:r>
          </w:p>
        </w:tc>
        <w:tc>
          <w:tcPr>
            <w:tcW w:w="31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0457AF">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颜色待定，按采购方需求制作。采用E1级三聚氰胺板,E1级三聚氰胺板甲醛释放量≤0.5mg/L，表面胶合强度≥0.6MPa，含水率≤5%，达到GB18580-2025《室内装饰装修材料人造板及其制品中甲醛释放限量》环保E1标准；</w:t>
            </w:r>
          </w:p>
        </w:tc>
        <w:tc>
          <w:tcPr>
            <w:tcW w:w="16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8FA456">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1270</wp:posOffset>
                  </wp:positionH>
                  <wp:positionV relativeFrom="paragraph">
                    <wp:posOffset>279400</wp:posOffset>
                  </wp:positionV>
                  <wp:extent cx="903605" cy="491490"/>
                  <wp:effectExtent l="0" t="0" r="10795" b="3810"/>
                  <wp:wrapNone/>
                  <wp:docPr id="5" name="图片_54"/>
                  <wp:cNvGraphicFramePr/>
                  <a:graphic xmlns:a="http://schemas.openxmlformats.org/drawingml/2006/main">
                    <a:graphicData uri="http://schemas.openxmlformats.org/drawingml/2006/picture">
                      <pic:pic xmlns:pic="http://schemas.openxmlformats.org/drawingml/2006/picture">
                        <pic:nvPicPr>
                          <pic:cNvPr id="5" name="图片_54"/>
                          <pic:cNvPicPr/>
                        </pic:nvPicPr>
                        <pic:blipFill>
                          <a:blip r:embed="rId14"/>
                          <a:stretch>
                            <a:fillRect/>
                          </a:stretch>
                        </pic:blipFill>
                        <pic:spPr>
                          <a:xfrm>
                            <a:off x="0" y="0"/>
                            <a:ext cx="903605" cy="491490"/>
                          </a:xfrm>
                          <a:prstGeom prst="rect">
                            <a:avLst/>
                          </a:prstGeom>
                          <a:noFill/>
                          <a:ln>
                            <a:noFill/>
                          </a:ln>
                        </pic:spPr>
                      </pic:pic>
                    </a:graphicData>
                  </a:graphic>
                </wp:anchor>
              </w:drawing>
            </w: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D337A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张</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A797E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D58FA8">
            <w:pPr>
              <w:jc w:val="center"/>
              <w:rPr>
                <w:rFonts w:hint="eastAsia" w:ascii="宋体" w:hAnsi="宋体" w:eastAsia="宋体" w:cs="宋体"/>
                <w:i w:val="0"/>
                <w:iCs w:val="0"/>
                <w:color w:val="000000"/>
                <w:sz w:val="22"/>
                <w:szCs w:val="22"/>
                <w:u w:val="none"/>
              </w:rPr>
            </w:pPr>
          </w:p>
        </w:tc>
      </w:tr>
      <w:tr w14:paraId="3FABE39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35" w:hRule="exact"/>
        </w:trPr>
        <w:tc>
          <w:tcPr>
            <w:tcW w:w="7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02F9F3">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4</w:t>
            </w:r>
          </w:p>
        </w:tc>
        <w:tc>
          <w:tcPr>
            <w:tcW w:w="11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8D2E96">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资料柜</w:t>
            </w:r>
          </w:p>
        </w:tc>
        <w:tc>
          <w:tcPr>
            <w:tcW w:w="18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FE62DA">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1380*400*2000</w:t>
            </w:r>
          </w:p>
        </w:tc>
        <w:tc>
          <w:tcPr>
            <w:tcW w:w="31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808C20">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lef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颜色待定，按采购方需求制作。规格：1380*400*2000</w:t>
            </w:r>
            <w:r>
              <w:rPr>
                <w:rFonts w:hint="eastAsia" w:ascii="宋体" w:hAnsi="宋体" w:eastAsia="宋体" w:cs="宋体"/>
                <w:i w:val="0"/>
                <w:iCs w:val="0"/>
                <w:color w:val="auto"/>
                <w:kern w:val="0"/>
                <w:sz w:val="22"/>
                <w:szCs w:val="22"/>
                <w:u w:val="none"/>
                <w:lang w:val="en-US" w:eastAsia="zh-CN" w:bidi="ar"/>
              </w:rPr>
              <w:br w:type="textWrapping"/>
            </w:r>
            <w:r>
              <w:rPr>
                <w:rFonts w:hint="eastAsia" w:ascii="宋体" w:hAnsi="宋体" w:eastAsia="宋体" w:cs="宋体"/>
                <w:i w:val="0"/>
                <w:iCs w:val="0"/>
                <w:color w:val="auto"/>
                <w:kern w:val="0"/>
                <w:sz w:val="22"/>
                <w:szCs w:val="22"/>
                <w:u w:val="none"/>
                <w:lang w:val="en-US" w:eastAsia="zh-CN" w:bidi="ar"/>
              </w:rPr>
              <w:t>采用E1级三聚氰胺板,E1级三聚氰胺板甲醛释放量≤0.5mg/L，表面胶合强度≥0.6MPa，含水率≤5%，达到GB18580-2025《室内装饰装修材料人造板及其制品中甲醛释放限量》环保E1标准；</w:t>
            </w:r>
          </w:p>
        </w:tc>
        <w:tc>
          <w:tcPr>
            <w:tcW w:w="16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61DE83">
            <w:pPr>
              <w:keepNext w:val="0"/>
              <w:keepLines w:val="0"/>
              <w:widowControl/>
              <w:suppressLineNumbers w:val="0"/>
              <w:spacing w:after="220" w:afterAutospacing="0"/>
              <w:jc w:val="lef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13335</wp:posOffset>
                  </wp:positionH>
                  <wp:positionV relativeFrom="paragraph">
                    <wp:posOffset>238760</wp:posOffset>
                  </wp:positionV>
                  <wp:extent cx="855345" cy="1068705"/>
                  <wp:effectExtent l="0" t="0" r="1905" b="17145"/>
                  <wp:wrapNone/>
                  <wp:docPr id="6" name="图片_5"/>
                  <wp:cNvGraphicFramePr/>
                  <a:graphic xmlns:a="http://schemas.openxmlformats.org/drawingml/2006/main">
                    <a:graphicData uri="http://schemas.openxmlformats.org/drawingml/2006/picture">
                      <pic:pic xmlns:pic="http://schemas.openxmlformats.org/drawingml/2006/picture">
                        <pic:nvPicPr>
                          <pic:cNvPr id="6" name="图片_5"/>
                          <pic:cNvPicPr/>
                        </pic:nvPicPr>
                        <pic:blipFill>
                          <a:blip r:embed="rId15"/>
                          <a:stretch>
                            <a:fillRect/>
                          </a:stretch>
                        </pic:blipFill>
                        <pic:spPr>
                          <a:xfrm>
                            <a:off x="0" y="0"/>
                            <a:ext cx="855345" cy="1068705"/>
                          </a:xfrm>
                          <a:prstGeom prst="rect">
                            <a:avLst/>
                          </a:prstGeom>
                          <a:noFill/>
                          <a:ln>
                            <a:noFill/>
                          </a:ln>
                        </pic:spPr>
                      </pic:pic>
                    </a:graphicData>
                  </a:graphic>
                </wp:anchor>
              </w:drawing>
            </w:r>
            <w:r>
              <w:rPr>
                <w:rFonts w:hint="eastAsia" w:ascii="宋体" w:hAnsi="宋体" w:eastAsia="宋体" w:cs="宋体"/>
                <w:i w:val="0"/>
                <w:iCs w:val="0"/>
                <w:color w:val="auto"/>
                <w:kern w:val="0"/>
                <w:sz w:val="22"/>
                <w:szCs w:val="22"/>
                <w:u w:val="none"/>
                <w:lang w:val="en-US" w:eastAsia="zh-CN" w:bidi="ar"/>
              </w:rPr>
              <w:br w:type="textWrapping"/>
            </w:r>
            <w:r>
              <w:rPr>
                <w:rFonts w:hint="eastAsia" w:ascii="宋体" w:hAnsi="宋体" w:eastAsia="宋体" w:cs="宋体"/>
                <w:i w:val="0"/>
                <w:iCs w:val="0"/>
                <w:color w:val="auto"/>
                <w:kern w:val="0"/>
                <w:sz w:val="22"/>
                <w:szCs w:val="22"/>
                <w:u w:val="none"/>
                <w:lang w:val="en-US" w:eastAsia="zh-CN" w:bidi="ar"/>
              </w:rPr>
              <w:br w:type="textWrapping"/>
            </w:r>
            <w:r>
              <w:rPr>
                <w:rFonts w:hint="eastAsia" w:ascii="宋体" w:hAnsi="宋体" w:eastAsia="宋体" w:cs="宋体"/>
                <w:i w:val="0"/>
                <w:iCs w:val="0"/>
                <w:color w:val="auto"/>
                <w:kern w:val="0"/>
                <w:sz w:val="22"/>
                <w:szCs w:val="22"/>
                <w:u w:val="none"/>
                <w:lang w:val="en-US" w:eastAsia="zh-CN" w:bidi="ar"/>
              </w:rPr>
              <w:br w:type="textWrapping"/>
            </w:r>
            <w:r>
              <w:rPr>
                <w:rFonts w:hint="eastAsia" w:ascii="宋体" w:hAnsi="宋体" w:eastAsia="宋体" w:cs="宋体"/>
                <w:i w:val="0"/>
                <w:iCs w:val="0"/>
                <w:color w:val="auto"/>
                <w:kern w:val="0"/>
                <w:sz w:val="22"/>
                <w:szCs w:val="22"/>
                <w:u w:val="none"/>
                <w:lang w:val="en-US" w:eastAsia="zh-CN" w:bidi="ar"/>
              </w:rPr>
              <w:br w:type="textWrapping"/>
            </w:r>
            <w:r>
              <w:rPr>
                <w:rFonts w:hint="eastAsia" w:ascii="宋体" w:hAnsi="宋体" w:eastAsia="宋体" w:cs="宋体"/>
                <w:i w:val="0"/>
                <w:iCs w:val="0"/>
                <w:color w:val="auto"/>
                <w:kern w:val="0"/>
                <w:sz w:val="22"/>
                <w:szCs w:val="22"/>
                <w:u w:val="none"/>
                <w:lang w:val="en-US" w:eastAsia="zh-CN" w:bidi="ar"/>
              </w:rPr>
              <w:br w:type="textWrapping"/>
            </w:r>
            <w:r>
              <w:rPr>
                <w:rFonts w:hint="eastAsia" w:ascii="宋体" w:hAnsi="宋体" w:eastAsia="宋体" w:cs="宋体"/>
                <w:i w:val="0"/>
                <w:iCs w:val="0"/>
                <w:color w:val="auto"/>
                <w:kern w:val="0"/>
                <w:sz w:val="22"/>
                <w:szCs w:val="22"/>
                <w:u w:val="none"/>
                <w:lang w:val="en-US" w:eastAsia="zh-CN" w:bidi="ar"/>
              </w:rPr>
              <w:br w:type="textWrapping"/>
            </w: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3DC40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个</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0DA55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6</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285C63">
            <w:pPr>
              <w:jc w:val="center"/>
              <w:rPr>
                <w:rFonts w:hint="eastAsia" w:ascii="宋体" w:hAnsi="宋体" w:eastAsia="宋体" w:cs="宋体"/>
                <w:i w:val="0"/>
                <w:iCs w:val="0"/>
                <w:color w:val="000000"/>
                <w:sz w:val="22"/>
                <w:szCs w:val="22"/>
                <w:u w:val="none"/>
              </w:rPr>
            </w:pPr>
          </w:p>
        </w:tc>
      </w:tr>
      <w:tr w14:paraId="12373C9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8" w:hRule="exact"/>
        </w:trPr>
        <w:tc>
          <w:tcPr>
            <w:tcW w:w="71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7B45A0D">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5</w:t>
            </w:r>
          </w:p>
        </w:tc>
        <w:tc>
          <w:tcPr>
            <w:tcW w:w="111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5658918">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auto"/>
                <w:sz w:val="22"/>
                <w:szCs w:val="22"/>
                <w:u w:val="none"/>
                <w:lang w:val="en-US" w:eastAsia="zh-CN"/>
              </w:rPr>
            </w:pPr>
            <w:r>
              <w:rPr>
                <w:rFonts w:hint="eastAsia" w:ascii="宋体" w:hAnsi="宋体" w:eastAsia="宋体" w:cs="宋体"/>
                <w:i w:val="0"/>
                <w:iCs w:val="0"/>
                <w:color w:val="auto"/>
                <w:kern w:val="0"/>
                <w:sz w:val="22"/>
                <w:szCs w:val="22"/>
                <w:u w:val="none"/>
                <w:lang w:val="en-US" w:eastAsia="zh-CN" w:bidi="ar"/>
              </w:rPr>
              <w:t>吧椅      (桌前椅）</w:t>
            </w:r>
          </w:p>
        </w:tc>
        <w:tc>
          <w:tcPr>
            <w:tcW w:w="18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18768F">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带轮</w:t>
            </w:r>
          </w:p>
        </w:tc>
        <w:tc>
          <w:tcPr>
            <w:tcW w:w="31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7E2CD6">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lef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带轮，可移动，可升降</w:t>
            </w:r>
            <w:r>
              <w:rPr>
                <w:rFonts w:hint="eastAsia" w:ascii="宋体" w:hAnsi="宋体" w:eastAsia="宋体" w:cs="宋体"/>
                <w:i w:val="0"/>
                <w:iCs w:val="0"/>
                <w:color w:val="auto"/>
                <w:kern w:val="0"/>
                <w:sz w:val="22"/>
                <w:szCs w:val="22"/>
                <w:u w:val="none"/>
                <w:lang w:val="en-US" w:eastAsia="zh-CN" w:bidi="ar"/>
              </w:rPr>
              <w:br w:type="textWrapping"/>
            </w:r>
            <w:r>
              <w:rPr>
                <w:rFonts w:hint="eastAsia" w:ascii="宋体" w:hAnsi="宋体" w:eastAsia="宋体" w:cs="宋体"/>
                <w:i w:val="0"/>
                <w:iCs w:val="0"/>
                <w:color w:val="auto"/>
                <w:kern w:val="0"/>
                <w:sz w:val="22"/>
                <w:szCs w:val="22"/>
                <w:u w:val="none"/>
                <w:lang w:val="en-US" w:eastAsia="zh-CN" w:bidi="ar"/>
              </w:rPr>
              <w:t>液压型可升降，有优质电镀脚及椅架，升降灵活，真皮覆面，要求气动杆加长，牢固耐用。</w:t>
            </w:r>
          </w:p>
        </w:tc>
        <w:tc>
          <w:tcPr>
            <w:tcW w:w="16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5C30CF">
            <w:pPr>
              <w:keepNext w:val="0"/>
              <w:keepLines w:val="0"/>
              <w:widowControl/>
              <w:suppressLineNumbers w:val="0"/>
              <w:spacing w:after="220" w:afterAutospacing="0"/>
              <w:jc w:val="lef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140335</wp:posOffset>
                  </wp:positionH>
                  <wp:positionV relativeFrom="paragraph">
                    <wp:posOffset>104140</wp:posOffset>
                  </wp:positionV>
                  <wp:extent cx="619125" cy="711200"/>
                  <wp:effectExtent l="0" t="0" r="9525" b="12700"/>
                  <wp:wrapNone/>
                  <wp:docPr id="8" name="Picture_5_SpCnt_1"/>
                  <wp:cNvGraphicFramePr/>
                  <a:graphic xmlns:a="http://schemas.openxmlformats.org/drawingml/2006/main">
                    <a:graphicData uri="http://schemas.openxmlformats.org/drawingml/2006/picture">
                      <pic:pic xmlns:pic="http://schemas.openxmlformats.org/drawingml/2006/picture">
                        <pic:nvPicPr>
                          <pic:cNvPr id="8" name="Picture_5_SpCnt_1"/>
                          <pic:cNvPicPr/>
                        </pic:nvPicPr>
                        <pic:blipFill>
                          <a:blip r:embed="rId16"/>
                          <a:stretch>
                            <a:fillRect/>
                          </a:stretch>
                        </pic:blipFill>
                        <pic:spPr>
                          <a:xfrm>
                            <a:off x="0" y="0"/>
                            <a:ext cx="619125" cy="711200"/>
                          </a:xfrm>
                          <a:prstGeom prst="rect">
                            <a:avLst/>
                          </a:prstGeom>
                          <a:noFill/>
                          <a:ln>
                            <a:noFill/>
                          </a:ln>
                        </pic:spPr>
                      </pic:pic>
                    </a:graphicData>
                  </a:graphic>
                </wp:anchor>
              </w:drawing>
            </w:r>
            <w:r>
              <w:rPr>
                <w:rFonts w:hint="eastAsia" w:ascii="宋体" w:hAnsi="宋体" w:eastAsia="宋体" w:cs="宋体"/>
                <w:i w:val="0"/>
                <w:iCs w:val="0"/>
                <w:color w:val="auto"/>
                <w:kern w:val="0"/>
                <w:sz w:val="22"/>
                <w:szCs w:val="22"/>
                <w:u w:val="none"/>
                <w:lang w:val="en-US" w:eastAsia="zh-CN" w:bidi="ar"/>
              </w:rPr>
              <w:br w:type="textWrapping"/>
            </w:r>
            <w:r>
              <w:rPr>
                <w:rFonts w:hint="eastAsia" w:ascii="宋体" w:hAnsi="宋体" w:eastAsia="宋体" w:cs="宋体"/>
                <w:i w:val="0"/>
                <w:iCs w:val="0"/>
                <w:color w:val="auto"/>
                <w:kern w:val="0"/>
                <w:sz w:val="22"/>
                <w:szCs w:val="22"/>
                <w:u w:val="none"/>
                <w:lang w:val="en-US" w:eastAsia="zh-CN" w:bidi="ar"/>
              </w:rPr>
              <w:br w:type="textWrapping"/>
            </w:r>
            <w:r>
              <w:rPr>
                <w:rFonts w:hint="eastAsia" w:ascii="宋体" w:hAnsi="宋体" w:eastAsia="宋体" w:cs="宋体"/>
                <w:i w:val="0"/>
                <w:iCs w:val="0"/>
                <w:color w:val="auto"/>
                <w:kern w:val="0"/>
                <w:sz w:val="22"/>
                <w:szCs w:val="22"/>
                <w:u w:val="none"/>
                <w:lang w:val="en-US" w:eastAsia="zh-CN" w:bidi="ar"/>
              </w:rPr>
              <w:br w:type="textWrapping"/>
            </w:r>
            <w:r>
              <w:rPr>
                <w:rFonts w:hint="eastAsia" w:ascii="宋体" w:hAnsi="宋体" w:eastAsia="宋体" w:cs="宋体"/>
                <w:i w:val="0"/>
                <w:iCs w:val="0"/>
                <w:color w:val="auto"/>
                <w:kern w:val="0"/>
                <w:sz w:val="22"/>
                <w:szCs w:val="22"/>
                <w:u w:val="none"/>
                <w:lang w:val="en-US" w:eastAsia="zh-CN" w:bidi="ar"/>
              </w:rPr>
              <w:br w:type="textWrapping"/>
            </w:r>
            <w:r>
              <w:rPr>
                <w:rFonts w:hint="eastAsia" w:ascii="宋体" w:hAnsi="宋体" w:eastAsia="宋体" w:cs="宋体"/>
                <w:i w:val="0"/>
                <w:iCs w:val="0"/>
                <w:color w:val="auto"/>
                <w:kern w:val="0"/>
                <w:sz w:val="22"/>
                <w:szCs w:val="22"/>
                <w:u w:val="none"/>
                <w:lang w:val="en-US" w:eastAsia="zh-CN" w:bidi="ar"/>
              </w:rPr>
              <w:br w:type="textWrapping"/>
            </w:r>
            <w:r>
              <w:rPr>
                <w:rFonts w:hint="eastAsia" w:ascii="宋体" w:hAnsi="宋体" w:eastAsia="宋体" w:cs="宋体"/>
                <w:i w:val="0"/>
                <w:iCs w:val="0"/>
                <w:color w:val="auto"/>
                <w:kern w:val="0"/>
                <w:sz w:val="22"/>
                <w:szCs w:val="22"/>
                <w:u w:val="none"/>
                <w:lang w:val="en-US" w:eastAsia="zh-CN" w:bidi="ar"/>
              </w:rPr>
              <w:br w:type="textWrapping"/>
            </w:r>
            <w:r>
              <w:rPr>
                <w:rFonts w:hint="eastAsia" w:ascii="宋体" w:hAnsi="宋体" w:eastAsia="宋体" w:cs="宋体"/>
                <w:i w:val="0"/>
                <w:iCs w:val="0"/>
                <w:color w:val="auto"/>
                <w:kern w:val="0"/>
                <w:sz w:val="22"/>
                <w:szCs w:val="22"/>
                <w:u w:val="none"/>
                <w:lang w:val="en-US" w:eastAsia="zh-CN" w:bidi="ar"/>
              </w:rPr>
              <w:br w:type="textWrapping"/>
            </w: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39C6B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张</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FAD48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2</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D971BB">
            <w:pPr>
              <w:jc w:val="center"/>
              <w:rPr>
                <w:rFonts w:hint="eastAsia" w:ascii="宋体" w:hAnsi="宋体" w:eastAsia="宋体" w:cs="宋体"/>
                <w:i w:val="0"/>
                <w:iCs w:val="0"/>
                <w:color w:val="000000"/>
                <w:sz w:val="22"/>
                <w:szCs w:val="22"/>
                <w:u w:val="none"/>
              </w:rPr>
            </w:pPr>
          </w:p>
        </w:tc>
      </w:tr>
      <w:tr w14:paraId="4E1F10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45" w:hRule="atLeast"/>
        </w:trPr>
        <w:tc>
          <w:tcPr>
            <w:tcW w:w="7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EE943E7">
            <w:pPr>
              <w:keepNext w:val="0"/>
              <w:keepLines w:val="0"/>
              <w:pageBreakBefore w:val="0"/>
              <w:widowControl/>
              <w:kinsoku/>
              <w:wordWrap/>
              <w:overflowPunct/>
              <w:topLinePunct w:val="0"/>
              <w:autoSpaceDE/>
              <w:autoSpaceDN/>
              <w:bidi w:val="0"/>
              <w:adjustRightInd/>
              <w:snapToGrid/>
              <w:spacing w:line="300" w:lineRule="exact"/>
              <w:jc w:val="center"/>
              <w:rPr>
                <w:rFonts w:hint="eastAsia" w:ascii="宋体" w:hAnsi="宋体" w:eastAsia="宋体" w:cs="宋体"/>
                <w:i w:val="0"/>
                <w:iCs w:val="0"/>
                <w:color w:val="auto"/>
                <w:sz w:val="22"/>
                <w:szCs w:val="22"/>
                <w:u w:val="none"/>
              </w:rPr>
            </w:pP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10D6465">
            <w:pPr>
              <w:keepNext w:val="0"/>
              <w:keepLines w:val="0"/>
              <w:pageBreakBefore w:val="0"/>
              <w:widowControl/>
              <w:kinsoku/>
              <w:wordWrap/>
              <w:overflowPunct/>
              <w:topLinePunct w:val="0"/>
              <w:autoSpaceDE/>
              <w:autoSpaceDN/>
              <w:bidi w:val="0"/>
              <w:adjustRightInd/>
              <w:snapToGrid/>
              <w:spacing w:line="300" w:lineRule="exact"/>
              <w:jc w:val="center"/>
              <w:rPr>
                <w:rFonts w:hint="eastAsia" w:ascii="宋体" w:hAnsi="宋体" w:eastAsia="宋体" w:cs="宋体"/>
                <w:i w:val="0"/>
                <w:iCs w:val="0"/>
                <w:color w:val="auto"/>
                <w:sz w:val="22"/>
                <w:szCs w:val="22"/>
                <w:u w:val="none"/>
              </w:rPr>
            </w:pPr>
          </w:p>
        </w:tc>
        <w:tc>
          <w:tcPr>
            <w:tcW w:w="18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926B63">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不带轮</w:t>
            </w:r>
          </w:p>
        </w:tc>
        <w:tc>
          <w:tcPr>
            <w:tcW w:w="31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6402DE">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lef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无轮，可升降</w:t>
            </w:r>
            <w:r>
              <w:rPr>
                <w:rFonts w:hint="eastAsia" w:ascii="宋体" w:hAnsi="宋体" w:eastAsia="宋体" w:cs="宋体"/>
                <w:i w:val="0"/>
                <w:iCs w:val="0"/>
                <w:color w:val="auto"/>
                <w:kern w:val="0"/>
                <w:sz w:val="22"/>
                <w:szCs w:val="22"/>
                <w:u w:val="none"/>
                <w:lang w:val="en-US" w:eastAsia="zh-CN" w:bidi="ar"/>
              </w:rPr>
              <w:br w:type="textWrapping"/>
            </w:r>
            <w:r>
              <w:rPr>
                <w:rFonts w:hint="eastAsia" w:ascii="宋体" w:hAnsi="宋体" w:eastAsia="宋体" w:cs="宋体"/>
                <w:i w:val="0"/>
                <w:iCs w:val="0"/>
                <w:color w:val="auto"/>
                <w:kern w:val="0"/>
                <w:sz w:val="22"/>
                <w:szCs w:val="22"/>
                <w:u w:val="none"/>
                <w:lang w:val="en-US" w:eastAsia="zh-CN" w:bidi="ar"/>
              </w:rPr>
              <w:t>液压型可升降，有优质电镀脚及椅架，升降灵活，真皮覆面，要求气动杆加长，牢固耐用。</w:t>
            </w:r>
          </w:p>
        </w:tc>
        <w:tc>
          <w:tcPr>
            <w:tcW w:w="16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D94848">
            <w:pPr>
              <w:keepNext w:val="0"/>
              <w:keepLines w:val="0"/>
              <w:widowControl/>
              <w:suppressLineNumbers w:val="0"/>
              <w:jc w:val="lef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132080</wp:posOffset>
                  </wp:positionH>
                  <wp:positionV relativeFrom="paragraph">
                    <wp:posOffset>85725</wp:posOffset>
                  </wp:positionV>
                  <wp:extent cx="666750" cy="793750"/>
                  <wp:effectExtent l="0" t="0" r="0" b="6350"/>
                  <wp:wrapNone/>
                  <wp:docPr id="7" name="Picture_5"/>
                  <wp:cNvGraphicFramePr/>
                  <a:graphic xmlns:a="http://schemas.openxmlformats.org/drawingml/2006/main">
                    <a:graphicData uri="http://schemas.openxmlformats.org/drawingml/2006/picture">
                      <pic:pic xmlns:pic="http://schemas.openxmlformats.org/drawingml/2006/picture">
                        <pic:nvPicPr>
                          <pic:cNvPr id="7" name="Picture_5"/>
                          <pic:cNvPicPr/>
                        </pic:nvPicPr>
                        <pic:blipFill>
                          <a:blip r:embed="rId17"/>
                          <a:stretch>
                            <a:fillRect/>
                          </a:stretch>
                        </pic:blipFill>
                        <pic:spPr>
                          <a:xfrm>
                            <a:off x="0" y="0"/>
                            <a:ext cx="666750" cy="793750"/>
                          </a:xfrm>
                          <a:prstGeom prst="rect">
                            <a:avLst/>
                          </a:prstGeom>
                          <a:noFill/>
                          <a:ln>
                            <a:noFill/>
                          </a:ln>
                        </pic:spPr>
                      </pic:pic>
                    </a:graphicData>
                  </a:graphic>
                </wp:anchor>
              </w:drawing>
            </w: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83034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张</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24EFC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4</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D62BE4">
            <w:pPr>
              <w:jc w:val="center"/>
              <w:rPr>
                <w:rFonts w:hint="eastAsia" w:ascii="宋体" w:hAnsi="宋体" w:eastAsia="宋体" w:cs="宋体"/>
                <w:i w:val="0"/>
                <w:iCs w:val="0"/>
                <w:color w:val="000000"/>
                <w:sz w:val="22"/>
                <w:szCs w:val="22"/>
                <w:u w:val="none"/>
              </w:rPr>
            </w:pPr>
          </w:p>
        </w:tc>
      </w:tr>
      <w:tr w14:paraId="74D4EB8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28" w:hRule="exact"/>
        </w:trPr>
        <w:tc>
          <w:tcPr>
            <w:tcW w:w="7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DCC003">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6</w:t>
            </w:r>
          </w:p>
        </w:tc>
        <w:tc>
          <w:tcPr>
            <w:tcW w:w="11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5E8E91">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病人椅</w:t>
            </w:r>
          </w:p>
        </w:tc>
        <w:tc>
          <w:tcPr>
            <w:tcW w:w="18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0C624C">
            <w:pPr>
              <w:keepNext w:val="0"/>
              <w:keepLines w:val="0"/>
              <w:pageBreakBefore w:val="0"/>
              <w:widowControl/>
              <w:suppressLineNumbers w:val="0"/>
              <w:kinsoku/>
              <w:wordWrap/>
              <w:overflowPunct/>
              <w:topLinePunct w:val="0"/>
              <w:autoSpaceDE/>
              <w:autoSpaceDN/>
              <w:bidi w:val="0"/>
              <w:adjustRightInd/>
              <w:snapToGrid/>
              <w:spacing w:line="300" w:lineRule="exact"/>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常规</w:t>
            </w:r>
          </w:p>
        </w:tc>
        <w:tc>
          <w:tcPr>
            <w:tcW w:w="31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D99A1B">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lef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优质不锈钢1.5MM厚钢管，靠背采用强化工程塑胶，坐板采用一次性工程塑胶，结实耐用稳固</w:t>
            </w:r>
          </w:p>
        </w:tc>
        <w:tc>
          <w:tcPr>
            <w:tcW w:w="16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251C39">
            <w:pPr>
              <w:keepNext w:val="0"/>
              <w:keepLines w:val="0"/>
              <w:widowControl/>
              <w:suppressLineNumbers w:val="0"/>
              <w:spacing w:after="220" w:afterAutospacing="0"/>
              <w:jc w:val="lef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63500</wp:posOffset>
                  </wp:positionH>
                  <wp:positionV relativeFrom="paragraph">
                    <wp:posOffset>99695</wp:posOffset>
                  </wp:positionV>
                  <wp:extent cx="777240" cy="706120"/>
                  <wp:effectExtent l="0" t="0" r="3810" b="17780"/>
                  <wp:wrapNone/>
                  <wp:docPr id="9" name="Picture_6"/>
                  <wp:cNvGraphicFramePr/>
                  <a:graphic xmlns:a="http://schemas.openxmlformats.org/drawingml/2006/main">
                    <a:graphicData uri="http://schemas.openxmlformats.org/drawingml/2006/picture">
                      <pic:pic xmlns:pic="http://schemas.openxmlformats.org/drawingml/2006/picture">
                        <pic:nvPicPr>
                          <pic:cNvPr id="9" name="Picture_6"/>
                          <pic:cNvPicPr/>
                        </pic:nvPicPr>
                        <pic:blipFill>
                          <a:blip r:embed="rId18"/>
                          <a:stretch>
                            <a:fillRect/>
                          </a:stretch>
                        </pic:blipFill>
                        <pic:spPr>
                          <a:xfrm>
                            <a:off x="0" y="0"/>
                            <a:ext cx="777240" cy="706120"/>
                          </a:xfrm>
                          <a:prstGeom prst="rect">
                            <a:avLst/>
                          </a:prstGeom>
                          <a:noFill/>
                          <a:ln>
                            <a:noFill/>
                          </a:ln>
                        </pic:spPr>
                      </pic:pic>
                    </a:graphicData>
                  </a:graphic>
                </wp:anchor>
              </w:drawing>
            </w:r>
            <w:r>
              <w:rPr>
                <w:rFonts w:hint="eastAsia" w:ascii="宋体" w:hAnsi="宋体" w:eastAsia="宋体" w:cs="宋体"/>
                <w:i w:val="0"/>
                <w:iCs w:val="0"/>
                <w:color w:val="auto"/>
                <w:kern w:val="0"/>
                <w:sz w:val="22"/>
                <w:szCs w:val="22"/>
                <w:u w:val="none"/>
                <w:lang w:val="en-US" w:eastAsia="zh-CN" w:bidi="ar"/>
              </w:rPr>
              <w:br w:type="textWrapping"/>
            </w:r>
            <w:r>
              <w:rPr>
                <w:rFonts w:hint="eastAsia" w:ascii="宋体" w:hAnsi="宋体" w:eastAsia="宋体" w:cs="宋体"/>
                <w:i w:val="0"/>
                <w:iCs w:val="0"/>
                <w:color w:val="auto"/>
                <w:kern w:val="0"/>
                <w:sz w:val="22"/>
                <w:szCs w:val="22"/>
                <w:u w:val="none"/>
                <w:lang w:val="en-US" w:eastAsia="zh-CN" w:bidi="ar"/>
              </w:rPr>
              <w:br w:type="textWrapping"/>
            </w:r>
            <w:r>
              <w:rPr>
                <w:rFonts w:hint="eastAsia" w:ascii="宋体" w:hAnsi="宋体" w:eastAsia="宋体" w:cs="宋体"/>
                <w:i w:val="0"/>
                <w:iCs w:val="0"/>
                <w:color w:val="auto"/>
                <w:kern w:val="0"/>
                <w:sz w:val="22"/>
                <w:szCs w:val="22"/>
                <w:u w:val="none"/>
                <w:lang w:val="en-US" w:eastAsia="zh-CN" w:bidi="ar"/>
              </w:rPr>
              <w:br w:type="textWrapping"/>
            </w:r>
            <w:r>
              <w:rPr>
                <w:rFonts w:hint="eastAsia" w:ascii="宋体" w:hAnsi="宋体" w:eastAsia="宋体" w:cs="宋体"/>
                <w:i w:val="0"/>
                <w:iCs w:val="0"/>
                <w:color w:val="auto"/>
                <w:kern w:val="0"/>
                <w:sz w:val="22"/>
                <w:szCs w:val="22"/>
                <w:u w:val="none"/>
                <w:lang w:val="en-US" w:eastAsia="zh-CN" w:bidi="ar"/>
              </w:rPr>
              <w:br w:type="textWrapping"/>
            </w:r>
            <w:r>
              <w:rPr>
                <w:rFonts w:hint="eastAsia" w:ascii="宋体" w:hAnsi="宋体" w:eastAsia="宋体" w:cs="宋体"/>
                <w:i w:val="0"/>
                <w:iCs w:val="0"/>
                <w:color w:val="auto"/>
                <w:kern w:val="0"/>
                <w:sz w:val="22"/>
                <w:szCs w:val="22"/>
                <w:u w:val="none"/>
                <w:lang w:val="en-US" w:eastAsia="zh-CN" w:bidi="ar"/>
              </w:rPr>
              <w:br w:type="textWrapping"/>
            </w:r>
            <w:r>
              <w:rPr>
                <w:rFonts w:hint="eastAsia" w:ascii="宋体" w:hAnsi="宋体" w:eastAsia="宋体" w:cs="宋体"/>
                <w:i w:val="0"/>
                <w:iCs w:val="0"/>
                <w:color w:val="auto"/>
                <w:kern w:val="0"/>
                <w:sz w:val="22"/>
                <w:szCs w:val="22"/>
                <w:u w:val="none"/>
                <w:lang w:val="en-US" w:eastAsia="zh-CN" w:bidi="ar"/>
              </w:rPr>
              <w:br w:type="textWrapping"/>
            </w: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2ED7DB">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张</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4810C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14</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548812">
            <w:pPr>
              <w:jc w:val="center"/>
              <w:rPr>
                <w:rFonts w:hint="eastAsia" w:ascii="宋体" w:hAnsi="宋体" w:eastAsia="宋体" w:cs="宋体"/>
                <w:i w:val="0"/>
                <w:iCs w:val="0"/>
                <w:color w:val="000000"/>
                <w:sz w:val="22"/>
                <w:szCs w:val="22"/>
                <w:u w:val="none"/>
              </w:rPr>
            </w:pPr>
          </w:p>
        </w:tc>
      </w:tr>
      <w:tr w14:paraId="589BEE8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76" w:hRule="atLeast"/>
        </w:trPr>
        <w:tc>
          <w:tcPr>
            <w:tcW w:w="7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D65ABA">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7</w:t>
            </w:r>
          </w:p>
        </w:tc>
        <w:tc>
          <w:tcPr>
            <w:tcW w:w="111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2FCDAE">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档案柜</w:t>
            </w:r>
          </w:p>
        </w:tc>
        <w:tc>
          <w:tcPr>
            <w:tcW w:w="18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29F2FC">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5节活动档案柜为一组带锁，850*400*2000</w:t>
            </w:r>
          </w:p>
        </w:tc>
        <w:tc>
          <w:tcPr>
            <w:tcW w:w="31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A870D8">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both"/>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1、优质0.6mm冷轧钢板，所有钢材均经防静电处理，静电液体喷涂，环保漆，柜体内外前后均经防锈处理，漆面涂装一致。优质防锈蚀五金配件，均经过酸洗、磷洗等防锈处理，使用寿命长。</w:t>
            </w:r>
          </w:p>
        </w:tc>
        <w:tc>
          <w:tcPr>
            <w:tcW w:w="16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07D434">
            <w:pPr>
              <w:keepNext w:val="0"/>
              <w:keepLines w:val="0"/>
              <w:widowControl/>
              <w:suppressLineNumbers w:val="0"/>
              <w:jc w:val="lef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36830</wp:posOffset>
                  </wp:positionH>
                  <wp:positionV relativeFrom="paragraph">
                    <wp:posOffset>163830</wp:posOffset>
                  </wp:positionV>
                  <wp:extent cx="816610" cy="1036320"/>
                  <wp:effectExtent l="0" t="0" r="2540" b="11430"/>
                  <wp:wrapNone/>
                  <wp:docPr id="11" name="picture_126_SpCnt_1"/>
                  <wp:cNvGraphicFramePr/>
                  <a:graphic xmlns:a="http://schemas.openxmlformats.org/drawingml/2006/main">
                    <a:graphicData uri="http://schemas.openxmlformats.org/drawingml/2006/picture">
                      <pic:pic xmlns:pic="http://schemas.openxmlformats.org/drawingml/2006/picture">
                        <pic:nvPicPr>
                          <pic:cNvPr id="11" name="picture_126_SpCnt_1"/>
                          <pic:cNvPicPr/>
                        </pic:nvPicPr>
                        <pic:blipFill>
                          <a:blip r:embed="rId19"/>
                          <a:stretch>
                            <a:fillRect/>
                          </a:stretch>
                        </pic:blipFill>
                        <pic:spPr>
                          <a:xfrm>
                            <a:off x="0" y="0"/>
                            <a:ext cx="816610" cy="1036320"/>
                          </a:xfrm>
                          <a:prstGeom prst="rect">
                            <a:avLst/>
                          </a:prstGeom>
                          <a:noFill/>
                          <a:ln>
                            <a:noFill/>
                          </a:ln>
                        </pic:spPr>
                      </pic:pic>
                    </a:graphicData>
                  </a:graphic>
                </wp:anchor>
              </w:drawing>
            </w:r>
            <w:r>
              <w:rPr>
                <w:rFonts w:hint="eastAsia" w:ascii="宋体" w:hAnsi="宋体" w:eastAsia="宋体" w:cs="宋体"/>
                <w:i w:val="0"/>
                <w:iCs w:val="0"/>
                <w:color w:val="auto"/>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61595</wp:posOffset>
                  </wp:positionH>
                  <wp:positionV relativeFrom="paragraph">
                    <wp:posOffset>35560</wp:posOffset>
                  </wp:positionV>
                  <wp:extent cx="0" cy="1715135"/>
                  <wp:effectExtent l="0" t="0" r="0" b="0"/>
                  <wp:wrapNone/>
                  <wp:docPr id="10" name="picture_126"/>
                  <wp:cNvGraphicFramePr/>
                  <a:graphic xmlns:a="http://schemas.openxmlformats.org/drawingml/2006/main">
                    <a:graphicData uri="http://schemas.openxmlformats.org/drawingml/2006/picture">
                      <pic:pic xmlns:pic="http://schemas.openxmlformats.org/drawingml/2006/picture">
                        <pic:nvPicPr>
                          <pic:cNvPr id="10" name="picture_126"/>
                          <pic:cNvPicPr/>
                        </pic:nvPicPr>
                        <pic:blipFill>
                          <a:blip r:embed="rId20"/>
                          <a:stretch>
                            <a:fillRect/>
                          </a:stretch>
                        </pic:blipFill>
                        <pic:spPr>
                          <a:xfrm>
                            <a:off x="0" y="0"/>
                            <a:ext cx="0" cy="1715135"/>
                          </a:xfrm>
                          <a:prstGeom prst="rect">
                            <a:avLst/>
                          </a:prstGeom>
                          <a:noFill/>
                          <a:ln>
                            <a:noFill/>
                          </a:ln>
                        </pic:spPr>
                      </pic:pic>
                    </a:graphicData>
                  </a:graphic>
                </wp:anchor>
              </w:drawing>
            </w: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819FF2">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组</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00EE3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2</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5B9DE7">
            <w:pPr>
              <w:jc w:val="center"/>
              <w:rPr>
                <w:rFonts w:hint="eastAsia" w:ascii="宋体" w:hAnsi="宋体" w:eastAsia="宋体" w:cs="宋体"/>
                <w:i w:val="0"/>
                <w:iCs w:val="0"/>
                <w:color w:val="000000"/>
                <w:sz w:val="22"/>
                <w:szCs w:val="22"/>
                <w:u w:val="none"/>
              </w:rPr>
            </w:pPr>
          </w:p>
        </w:tc>
      </w:tr>
      <w:tr w14:paraId="033D2A6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199" w:hRule="atLeast"/>
        </w:trPr>
        <w:tc>
          <w:tcPr>
            <w:tcW w:w="71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E8EF65B">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8</w:t>
            </w:r>
          </w:p>
        </w:tc>
        <w:tc>
          <w:tcPr>
            <w:tcW w:w="111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A7750B3">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候诊椅</w:t>
            </w:r>
          </w:p>
        </w:tc>
        <w:tc>
          <w:tcPr>
            <w:tcW w:w="18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1C64D8">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三人位</w:t>
            </w:r>
          </w:p>
        </w:tc>
        <w:tc>
          <w:tcPr>
            <w:tcW w:w="31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CA4F8C">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硬质坐垫，不锈钢边框</w:t>
            </w:r>
          </w:p>
        </w:tc>
        <w:tc>
          <w:tcPr>
            <w:tcW w:w="16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5B591B">
            <w:pPr>
              <w:keepNext w:val="0"/>
              <w:keepLines w:val="0"/>
              <w:widowControl/>
              <w:suppressLineNumbers w:val="0"/>
              <w:jc w:val="lef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83185</wp:posOffset>
                  </wp:positionH>
                  <wp:positionV relativeFrom="paragraph">
                    <wp:posOffset>54610</wp:posOffset>
                  </wp:positionV>
                  <wp:extent cx="718820" cy="523240"/>
                  <wp:effectExtent l="0" t="0" r="5080" b="10160"/>
                  <wp:wrapNone/>
                  <wp:docPr id="12" name="图片_12"/>
                  <wp:cNvGraphicFramePr/>
                  <a:graphic xmlns:a="http://schemas.openxmlformats.org/drawingml/2006/main">
                    <a:graphicData uri="http://schemas.openxmlformats.org/drawingml/2006/picture">
                      <pic:pic xmlns:pic="http://schemas.openxmlformats.org/drawingml/2006/picture">
                        <pic:nvPicPr>
                          <pic:cNvPr id="12" name="图片_12"/>
                          <pic:cNvPicPr/>
                        </pic:nvPicPr>
                        <pic:blipFill>
                          <a:blip r:embed="rId21"/>
                          <a:stretch>
                            <a:fillRect/>
                          </a:stretch>
                        </pic:blipFill>
                        <pic:spPr>
                          <a:xfrm>
                            <a:off x="0" y="0"/>
                            <a:ext cx="718820" cy="523240"/>
                          </a:xfrm>
                          <a:prstGeom prst="rect">
                            <a:avLst/>
                          </a:prstGeom>
                          <a:noFill/>
                          <a:ln>
                            <a:noFill/>
                          </a:ln>
                        </pic:spPr>
                      </pic:pic>
                    </a:graphicData>
                  </a:graphic>
                </wp:anchor>
              </w:drawing>
            </w: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9EBA7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张</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42874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10</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DCD67D">
            <w:pPr>
              <w:jc w:val="center"/>
              <w:rPr>
                <w:rFonts w:hint="eastAsia" w:ascii="宋体" w:hAnsi="宋体" w:eastAsia="宋体" w:cs="宋体"/>
                <w:i w:val="0"/>
                <w:iCs w:val="0"/>
                <w:color w:val="000000"/>
                <w:sz w:val="22"/>
                <w:szCs w:val="22"/>
                <w:u w:val="none"/>
              </w:rPr>
            </w:pPr>
          </w:p>
        </w:tc>
      </w:tr>
      <w:tr w14:paraId="390353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60" w:hRule="atLeast"/>
        </w:trPr>
        <w:tc>
          <w:tcPr>
            <w:tcW w:w="7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3A11B4">
            <w:pPr>
              <w:keepNext w:val="0"/>
              <w:keepLines w:val="0"/>
              <w:pageBreakBefore w:val="0"/>
              <w:widowControl/>
              <w:kinsoku/>
              <w:wordWrap/>
              <w:overflowPunct/>
              <w:topLinePunct w:val="0"/>
              <w:autoSpaceDE/>
              <w:autoSpaceDN/>
              <w:bidi w:val="0"/>
              <w:adjustRightInd/>
              <w:snapToGrid/>
              <w:spacing w:line="300" w:lineRule="exact"/>
              <w:jc w:val="center"/>
              <w:rPr>
                <w:rFonts w:hint="eastAsia" w:ascii="宋体" w:hAnsi="宋体" w:eastAsia="宋体" w:cs="宋体"/>
                <w:i w:val="0"/>
                <w:iCs w:val="0"/>
                <w:color w:val="auto"/>
                <w:sz w:val="22"/>
                <w:szCs w:val="22"/>
                <w:u w:val="none"/>
              </w:rPr>
            </w:pP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73091EF">
            <w:pPr>
              <w:keepNext w:val="0"/>
              <w:keepLines w:val="0"/>
              <w:pageBreakBefore w:val="0"/>
              <w:widowControl/>
              <w:kinsoku/>
              <w:wordWrap/>
              <w:overflowPunct/>
              <w:topLinePunct w:val="0"/>
              <w:autoSpaceDE/>
              <w:autoSpaceDN/>
              <w:bidi w:val="0"/>
              <w:adjustRightInd/>
              <w:snapToGrid/>
              <w:spacing w:line="300" w:lineRule="exact"/>
              <w:jc w:val="center"/>
              <w:rPr>
                <w:rFonts w:hint="eastAsia" w:ascii="宋体" w:hAnsi="宋体" w:eastAsia="宋体" w:cs="宋体"/>
                <w:i w:val="0"/>
                <w:iCs w:val="0"/>
                <w:color w:val="auto"/>
                <w:sz w:val="22"/>
                <w:szCs w:val="22"/>
                <w:u w:val="none"/>
              </w:rPr>
            </w:pPr>
          </w:p>
        </w:tc>
        <w:tc>
          <w:tcPr>
            <w:tcW w:w="18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D76DAD">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创意，每组候诊椅包含：海豚椅2条、三个小座椅。每条海豚椅的规格为：L200*H710*W77；</w:t>
            </w:r>
          </w:p>
        </w:tc>
        <w:tc>
          <w:tcPr>
            <w:tcW w:w="31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052CAE">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auto"/>
                <w:kern w:val="0"/>
                <w:sz w:val="22"/>
                <w:szCs w:val="22"/>
                <w:u w:val="none"/>
                <w:lang w:val="en-US" w:eastAsia="zh-CN" w:bidi="ar"/>
              </w:rPr>
            </w:pPr>
          </w:p>
          <w:p w14:paraId="6A744943">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auto"/>
                <w:kern w:val="0"/>
                <w:sz w:val="22"/>
                <w:szCs w:val="22"/>
                <w:u w:val="none"/>
                <w:bdr w:val="single" w:color="000000" w:sz="4" w:space="0"/>
                <w:lang w:val="en-US" w:eastAsia="zh-CN" w:bidi="ar"/>
              </w:rPr>
            </w:pPr>
          </w:p>
          <w:p w14:paraId="5AC42175">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auto"/>
                <w:kern w:val="0"/>
                <w:sz w:val="22"/>
                <w:szCs w:val="22"/>
                <w:u w:val="none"/>
                <w:bdr w:val="single" w:color="000000" w:sz="4" w:space="0"/>
                <w:lang w:val="en-US" w:eastAsia="zh-CN" w:bidi="ar"/>
              </w:rPr>
            </w:pPr>
          </w:p>
          <w:p w14:paraId="5C345BD0">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玻璃钢座椅</w:t>
            </w:r>
          </w:p>
        </w:tc>
        <w:tc>
          <w:tcPr>
            <w:tcW w:w="16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01C1E4">
            <w:pPr>
              <w:keepNext w:val="0"/>
              <w:keepLines w:val="0"/>
              <w:widowControl/>
              <w:suppressLineNumbers w:val="0"/>
              <w:jc w:val="left"/>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-53975</wp:posOffset>
                  </wp:positionH>
                  <wp:positionV relativeFrom="paragraph">
                    <wp:posOffset>-132080</wp:posOffset>
                  </wp:positionV>
                  <wp:extent cx="964565" cy="692150"/>
                  <wp:effectExtent l="0" t="0" r="6985" b="12700"/>
                  <wp:wrapNone/>
                  <wp:docPr id="2" name="图片_13"/>
                  <wp:cNvGraphicFramePr/>
                  <a:graphic xmlns:a="http://schemas.openxmlformats.org/drawingml/2006/main">
                    <a:graphicData uri="http://schemas.openxmlformats.org/drawingml/2006/picture">
                      <pic:pic xmlns:pic="http://schemas.openxmlformats.org/drawingml/2006/picture">
                        <pic:nvPicPr>
                          <pic:cNvPr id="2" name="图片_13"/>
                          <pic:cNvPicPr/>
                        </pic:nvPicPr>
                        <pic:blipFill>
                          <a:blip r:embed="rId22"/>
                          <a:stretch>
                            <a:fillRect/>
                          </a:stretch>
                        </pic:blipFill>
                        <pic:spPr>
                          <a:xfrm>
                            <a:off x="0" y="0"/>
                            <a:ext cx="964565" cy="692150"/>
                          </a:xfrm>
                          <a:prstGeom prst="rect">
                            <a:avLst/>
                          </a:prstGeom>
                          <a:noFill/>
                          <a:ln>
                            <a:noFill/>
                          </a:ln>
                        </pic:spPr>
                      </pic:pic>
                    </a:graphicData>
                  </a:graphic>
                </wp:anchor>
              </w:drawing>
            </w: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E5C6F4">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组</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3641D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B177C3">
            <w:pPr>
              <w:jc w:val="center"/>
              <w:rPr>
                <w:rFonts w:hint="eastAsia" w:ascii="宋体" w:hAnsi="宋体" w:eastAsia="宋体" w:cs="宋体"/>
                <w:i w:val="0"/>
                <w:iCs w:val="0"/>
                <w:color w:val="000000"/>
                <w:sz w:val="22"/>
                <w:szCs w:val="22"/>
                <w:u w:val="none"/>
              </w:rPr>
            </w:pPr>
          </w:p>
        </w:tc>
      </w:tr>
      <w:tr w14:paraId="54F27A2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33" w:hRule="atLeast"/>
        </w:trPr>
        <w:tc>
          <w:tcPr>
            <w:tcW w:w="7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8D6D690">
            <w:pPr>
              <w:keepNext w:val="0"/>
              <w:keepLines w:val="0"/>
              <w:pageBreakBefore w:val="0"/>
              <w:widowControl/>
              <w:kinsoku/>
              <w:wordWrap/>
              <w:overflowPunct/>
              <w:topLinePunct w:val="0"/>
              <w:autoSpaceDE/>
              <w:autoSpaceDN/>
              <w:bidi w:val="0"/>
              <w:adjustRightInd/>
              <w:snapToGrid/>
              <w:spacing w:line="300" w:lineRule="exact"/>
              <w:jc w:val="center"/>
              <w:rPr>
                <w:rFonts w:hint="eastAsia" w:ascii="宋体" w:hAnsi="宋体" w:eastAsia="宋体" w:cs="宋体"/>
                <w:i w:val="0"/>
                <w:iCs w:val="0"/>
                <w:color w:val="auto"/>
                <w:sz w:val="22"/>
                <w:szCs w:val="22"/>
                <w:u w:val="none"/>
              </w:rPr>
            </w:pPr>
          </w:p>
        </w:tc>
        <w:tc>
          <w:tcPr>
            <w:tcW w:w="111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049296D">
            <w:pPr>
              <w:keepNext w:val="0"/>
              <w:keepLines w:val="0"/>
              <w:pageBreakBefore w:val="0"/>
              <w:widowControl/>
              <w:kinsoku/>
              <w:wordWrap/>
              <w:overflowPunct/>
              <w:topLinePunct w:val="0"/>
              <w:autoSpaceDE/>
              <w:autoSpaceDN/>
              <w:bidi w:val="0"/>
              <w:adjustRightInd/>
              <w:snapToGrid/>
              <w:spacing w:line="300" w:lineRule="exact"/>
              <w:jc w:val="center"/>
              <w:rPr>
                <w:rFonts w:hint="eastAsia" w:ascii="宋体" w:hAnsi="宋体" w:eastAsia="宋体" w:cs="宋体"/>
                <w:i w:val="0"/>
                <w:iCs w:val="0"/>
                <w:color w:val="auto"/>
                <w:sz w:val="22"/>
                <w:szCs w:val="22"/>
                <w:u w:val="none"/>
              </w:rPr>
            </w:pPr>
          </w:p>
        </w:tc>
        <w:tc>
          <w:tcPr>
            <w:tcW w:w="189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BF0090">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创意，每组候诊椅包含2条月亮椅</w:t>
            </w:r>
          </w:p>
        </w:tc>
        <w:tc>
          <w:tcPr>
            <w:tcW w:w="31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3471FF">
            <w:pPr>
              <w:keepNext w:val="0"/>
              <w:keepLines w:val="0"/>
              <w:pageBreakBefore w:val="0"/>
              <w:widowControl/>
              <w:suppressLineNumbers w:val="0"/>
              <w:kinsoku/>
              <w:wordWrap/>
              <w:overflowPunct/>
              <w:topLinePunct w:val="0"/>
              <w:autoSpaceDE/>
              <w:autoSpaceDN/>
              <w:bidi w:val="0"/>
              <w:adjustRightInd/>
              <w:snapToGrid/>
              <w:spacing w:line="300" w:lineRule="exact"/>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玻璃钢座椅</w:t>
            </w:r>
          </w:p>
        </w:tc>
        <w:tc>
          <w:tcPr>
            <w:tcW w:w="1669" w:type="dxa"/>
            <w:tcBorders>
              <w:top w:val="single" w:color="000000" w:sz="4" w:space="0"/>
              <w:left w:val="single" w:color="000000" w:sz="4" w:space="0"/>
              <w:bottom w:val="single" w:color="000000" w:sz="4" w:space="0"/>
              <w:right w:val="single" w:color="000000" w:sz="4" w:space="0"/>
            </w:tcBorders>
            <w:shd w:val="clear" w:color="auto" w:fill="auto"/>
            <w:vAlign w:val="bottom"/>
          </w:tcPr>
          <w:p w14:paraId="61B2E300">
            <w:pPr>
              <w:keepNext w:val="0"/>
              <w:keepLines w:val="0"/>
              <w:widowControl/>
              <w:suppressLineNumbers w:val="0"/>
              <w:jc w:val="center"/>
              <w:textAlignment w:val="bottom"/>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70485</wp:posOffset>
                  </wp:positionH>
                  <wp:positionV relativeFrom="paragraph">
                    <wp:posOffset>-478790</wp:posOffset>
                  </wp:positionV>
                  <wp:extent cx="804545" cy="594360"/>
                  <wp:effectExtent l="0" t="0" r="14605" b="15240"/>
                  <wp:wrapNone/>
                  <wp:docPr id="1" name="图片_8"/>
                  <wp:cNvGraphicFramePr/>
                  <a:graphic xmlns:a="http://schemas.openxmlformats.org/drawingml/2006/main">
                    <a:graphicData uri="http://schemas.openxmlformats.org/drawingml/2006/picture">
                      <pic:pic xmlns:pic="http://schemas.openxmlformats.org/drawingml/2006/picture">
                        <pic:nvPicPr>
                          <pic:cNvPr id="1" name="图片_8"/>
                          <pic:cNvPicPr/>
                        </pic:nvPicPr>
                        <pic:blipFill>
                          <a:blip r:embed="rId23"/>
                          <a:stretch>
                            <a:fillRect/>
                          </a:stretch>
                        </pic:blipFill>
                        <pic:spPr>
                          <a:xfrm>
                            <a:off x="0" y="0"/>
                            <a:ext cx="804545" cy="594360"/>
                          </a:xfrm>
                          <a:prstGeom prst="rect">
                            <a:avLst/>
                          </a:prstGeom>
                          <a:noFill/>
                          <a:ln>
                            <a:noFill/>
                          </a:ln>
                        </pic:spPr>
                      </pic:pic>
                    </a:graphicData>
                  </a:graphic>
                </wp:anchor>
              </w:drawing>
            </w: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EE24B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组</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CACF9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auto"/>
                <w:sz w:val="22"/>
                <w:szCs w:val="22"/>
                <w:u w:val="none"/>
              </w:rPr>
            </w:pPr>
            <w:r>
              <w:rPr>
                <w:rFonts w:hint="eastAsia" w:ascii="宋体" w:hAnsi="宋体" w:eastAsia="宋体" w:cs="宋体"/>
                <w:i w:val="0"/>
                <w:iCs w:val="0"/>
                <w:color w:val="auto"/>
                <w:kern w:val="0"/>
                <w:sz w:val="22"/>
                <w:szCs w:val="22"/>
                <w:u w:val="none"/>
                <w:lang w:val="en-US" w:eastAsia="zh-CN" w:bidi="ar"/>
              </w:rPr>
              <w:t>1</w:t>
            </w:r>
          </w:p>
        </w:tc>
        <w:tc>
          <w:tcPr>
            <w:tcW w:w="7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3B257A">
            <w:pPr>
              <w:jc w:val="center"/>
              <w:rPr>
                <w:rFonts w:hint="eastAsia" w:ascii="宋体" w:hAnsi="宋体" w:eastAsia="宋体" w:cs="宋体"/>
                <w:i w:val="0"/>
                <w:iCs w:val="0"/>
                <w:color w:val="000000"/>
                <w:sz w:val="22"/>
                <w:szCs w:val="22"/>
                <w:u w:val="none"/>
              </w:rPr>
            </w:pPr>
          </w:p>
        </w:tc>
      </w:tr>
      <w:bookmarkEnd w:id="0"/>
    </w:tbl>
    <w:p w14:paraId="3623E95C">
      <w:pPr>
        <w:pStyle w:val="10"/>
        <w:keepNext w:val="0"/>
        <w:keepLines w:val="0"/>
        <w:pageBreakBefore w:val="0"/>
        <w:numPr>
          <w:ilvl w:val="0"/>
          <w:numId w:val="0"/>
        </w:numPr>
        <w:kinsoku/>
        <w:wordWrap/>
        <w:overflowPunct/>
        <w:topLinePunct w:val="0"/>
        <w:bidi w:val="0"/>
        <w:snapToGrid/>
        <w:spacing w:line="400" w:lineRule="exact"/>
        <w:ind w:firstLine="924" w:firstLineChars="300"/>
        <w:rPr>
          <w:rFonts w:hint="default" w:ascii="Times New Roman" w:hAnsi="Times New Roman" w:eastAsia="楷体_GB2312" w:cs="Times New Roman"/>
          <w:color w:val="auto"/>
          <w:spacing w:val="-6"/>
          <w:kern w:val="2"/>
          <w:sz w:val="32"/>
          <w:szCs w:val="20"/>
          <w:lang w:val="en-US" w:eastAsia="zh-CN" w:bidi="ar-SA"/>
        </w:rPr>
      </w:pPr>
    </w:p>
    <w:p w14:paraId="03DAB433">
      <w:pPr>
        <w:keepNext w:val="0"/>
        <w:keepLines w:val="0"/>
        <w:pageBreakBefore w:val="0"/>
        <w:widowControl w:val="0"/>
        <w:tabs>
          <w:tab w:val="left" w:pos="709"/>
        </w:tabs>
        <w:kinsoku/>
        <w:wordWrap/>
        <w:overflowPunct/>
        <w:topLinePunct w:val="0"/>
        <w:autoSpaceDE/>
        <w:autoSpaceDN/>
        <w:bidi w:val="0"/>
        <w:adjustRightInd/>
        <w:snapToGrid/>
        <w:spacing w:before="158" w:beforeLines="50" w:line="380" w:lineRule="exact"/>
        <w:ind w:left="0" w:leftChars="0" w:firstLine="616" w:firstLineChars="200"/>
        <w:textAlignment w:val="auto"/>
        <w:rPr>
          <w:rFonts w:hint="eastAsia" w:ascii="仿宋_GB2312" w:hAnsi="仿宋_GB2312" w:eastAsia="仿宋_GB2312" w:cs="Times New Roman"/>
          <w:spacing w:val="-6"/>
          <w:kern w:val="2"/>
          <w:sz w:val="32"/>
          <w:szCs w:val="20"/>
          <w:lang w:val="en-US" w:eastAsia="zh-CN" w:bidi="ar-SA"/>
        </w:rPr>
      </w:pPr>
      <w:r>
        <w:rPr>
          <w:rFonts w:hint="eastAsia" w:ascii="Times New Roman" w:hAnsi="Times New Roman" w:eastAsia="楷体_GB2312" w:cs="Times New Roman"/>
          <w:spacing w:val="-6"/>
          <w:kern w:val="2"/>
          <w:sz w:val="32"/>
          <w:szCs w:val="20"/>
          <w:lang w:val="en-US" w:eastAsia="zh-CN" w:bidi="ar-SA"/>
        </w:rPr>
        <w:t>2.供应商资格要求：</w:t>
      </w:r>
      <w:r>
        <w:rPr>
          <w:rFonts w:hint="eastAsia" w:ascii="仿宋_GB2312" w:hAnsi="仿宋_GB2312" w:eastAsia="仿宋_GB2312" w:cs="Times New Roman"/>
          <w:spacing w:val="-6"/>
          <w:kern w:val="2"/>
          <w:sz w:val="32"/>
          <w:szCs w:val="20"/>
          <w:lang w:val="en-US" w:eastAsia="zh-CN" w:bidi="ar-SA"/>
        </w:rPr>
        <w:t>供应商需具备销售家具资质，且需在广东政府采购智慧云平台定点供应商库中。</w:t>
      </w:r>
    </w:p>
    <w:p w14:paraId="6B3F93BE">
      <w:pPr>
        <w:keepLines w:val="0"/>
        <w:pageBreakBefore w:val="0"/>
        <w:tabs>
          <w:tab w:val="left" w:pos="709"/>
        </w:tabs>
        <w:kinsoku/>
        <w:wordWrap/>
        <w:overflowPunct/>
        <w:topLinePunct w:val="0"/>
        <w:bidi w:val="0"/>
        <w:snapToGrid/>
        <w:spacing w:line="380" w:lineRule="exact"/>
        <w:ind w:firstLine="480"/>
        <w:rPr>
          <w:rFonts w:hint="default" w:ascii="仿宋_GB2312" w:hAnsi="仿宋_GB2312" w:eastAsia="仿宋_GB2312" w:cs="Times New Roman"/>
          <w:spacing w:val="-6"/>
          <w:kern w:val="2"/>
          <w:sz w:val="32"/>
          <w:szCs w:val="20"/>
          <w:lang w:val="en-US" w:eastAsia="zh-CN" w:bidi="ar-SA"/>
        </w:rPr>
      </w:pPr>
      <w:r>
        <w:rPr>
          <w:rFonts w:hint="eastAsia" w:ascii="Times New Roman" w:hAnsi="Times New Roman" w:eastAsia="楷体_GB2312" w:cs="Times New Roman"/>
          <w:spacing w:val="-6"/>
          <w:kern w:val="2"/>
          <w:sz w:val="32"/>
          <w:szCs w:val="20"/>
          <w:lang w:val="en-US" w:eastAsia="zh-CN" w:bidi="ar-SA"/>
        </w:rPr>
        <w:t>3.质量要求：</w:t>
      </w:r>
      <w:r>
        <w:rPr>
          <w:rFonts w:hint="eastAsia" w:ascii="仿宋_GB2312" w:hAnsi="仿宋_GB2312" w:eastAsia="仿宋_GB2312" w:cs="Times New Roman"/>
          <w:spacing w:val="-6"/>
          <w:kern w:val="2"/>
          <w:sz w:val="32"/>
          <w:szCs w:val="20"/>
          <w:lang w:val="en-US" w:eastAsia="zh-CN" w:bidi="ar-SA"/>
        </w:rPr>
        <w:t>所提供的货物必须为生产厂家原装全新且合格的产品。产品需符合</w:t>
      </w:r>
      <w:r>
        <w:rPr>
          <w:rFonts w:hint="default" w:ascii="Times New Roman" w:hAnsi="Times New Roman" w:eastAsia="仿宋_GB2312" w:cs="Times New Roman"/>
          <w:spacing w:val="-6"/>
          <w:kern w:val="2"/>
          <w:sz w:val="32"/>
          <w:szCs w:val="20"/>
          <w:lang w:val="en-US" w:eastAsia="zh-CN" w:bidi="ar-SA"/>
        </w:rPr>
        <w:t>GB 28008-2024</w:t>
      </w:r>
      <w:r>
        <w:rPr>
          <w:rFonts w:hint="eastAsia" w:ascii="仿宋_GB2312" w:hAnsi="仿宋_GB2312" w:eastAsia="仿宋_GB2312" w:cs="Times New Roman"/>
          <w:spacing w:val="-6"/>
          <w:kern w:val="2"/>
          <w:sz w:val="32"/>
          <w:szCs w:val="20"/>
          <w:lang w:val="en-US" w:eastAsia="zh-CN" w:bidi="ar-SA"/>
        </w:rPr>
        <w:t>《家具结构安全技术规范》、</w:t>
      </w:r>
      <w:r>
        <w:rPr>
          <w:rFonts w:hint="default" w:ascii="Times New Roman" w:hAnsi="Times New Roman" w:eastAsia="仿宋_GB2312" w:cs="Times New Roman"/>
          <w:spacing w:val="-6"/>
          <w:kern w:val="2"/>
          <w:sz w:val="32"/>
          <w:szCs w:val="20"/>
          <w:lang w:val="en-US" w:eastAsia="zh-CN" w:bidi="ar-SA"/>
        </w:rPr>
        <w:t>GB 17927-2024</w:t>
      </w:r>
      <w:r>
        <w:rPr>
          <w:rFonts w:hint="eastAsia" w:ascii="仿宋_GB2312" w:hAnsi="仿宋_GB2312" w:eastAsia="仿宋_GB2312" w:cs="Times New Roman"/>
          <w:spacing w:val="-6"/>
          <w:kern w:val="2"/>
          <w:sz w:val="32"/>
          <w:szCs w:val="20"/>
          <w:lang w:val="en-US" w:eastAsia="zh-CN" w:bidi="ar-SA"/>
        </w:rPr>
        <w:t>《家具阻燃性能安全技术规范》和</w:t>
      </w:r>
      <w:r>
        <w:rPr>
          <w:rFonts w:hint="default" w:ascii="Times New Roman" w:hAnsi="Times New Roman" w:eastAsia="仿宋_GB2312" w:cs="Times New Roman"/>
          <w:spacing w:val="-6"/>
          <w:kern w:val="2"/>
          <w:sz w:val="32"/>
          <w:szCs w:val="20"/>
          <w:lang w:val="en-US" w:eastAsia="zh-CN" w:bidi="ar-SA"/>
        </w:rPr>
        <w:t>GB 18584-2024</w:t>
      </w:r>
      <w:r>
        <w:rPr>
          <w:rFonts w:hint="eastAsia" w:ascii="仿宋_GB2312" w:hAnsi="仿宋_GB2312" w:eastAsia="仿宋_GB2312" w:cs="Times New Roman"/>
          <w:spacing w:val="-6"/>
          <w:kern w:val="2"/>
          <w:sz w:val="32"/>
          <w:szCs w:val="20"/>
          <w:lang w:val="en-US" w:eastAsia="zh-CN" w:bidi="ar-SA"/>
        </w:rPr>
        <w:t>《家具中有害物质限量》等相关规定。</w:t>
      </w:r>
    </w:p>
    <w:p w14:paraId="34E4CA66">
      <w:pPr>
        <w:keepLines w:val="0"/>
        <w:pageBreakBefore w:val="0"/>
        <w:tabs>
          <w:tab w:val="left" w:pos="709"/>
        </w:tabs>
        <w:kinsoku/>
        <w:wordWrap/>
        <w:overflowPunct/>
        <w:topLinePunct w:val="0"/>
        <w:bidi w:val="0"/>
        <w:snapToGrid/>
        <w:spacing w:line="380" w:lineRule="exact"/>
        <w:ind w:firstLine="480"/>
        <w:rPr>
          <w:rFonts w:hint="eastAsia" w:ascii="仿宋_GB2312" w:hAnsi="仿宋_GB2312" w:eastAsia="仿宋_GB2312" w:cs="Times New Roman"/>
          <w:spacing w:val="-6"/>
          <w:kern w:val="2"/>
          <w:sz w:val="32"/>
          <w:szCs w:val="20"/>
          <w:lang w:val="en-US" w:eastAsia="zh-CN" w:bidi="ar-SA"/>
        </w:rPr>
      </w:pPr>
      <w:r>
        <w:rPr>
          <w:rFonts w:hint="eastAsia" w:ascii="Times New Roman" w:hAnsi="Times New Roman" w:eastAsia="楷体_GB2312" w:cs="Times New Roman"/>
          <w:spacing w:val="-6"/>
          <w:kern w:val="2"/>
          <w:sz w:val="32"/>
          <w:szCs w:val="20"/>
          <w:lang w:val="en-US" w:eastAsia="zh-CN" w:bidi="ar-SA"/>
        </w:rPr>
        <w:t>4.质保期：</w:t>
      </w:r>
      <w:r>
        <w:rPr>
          <w:rFonts w:hint="eastAsia" w:ascii="仿宋_GB2312" w:hAnsi="仿宋_GB2312" w:eastAsia="仿宋_GB2312" w:cs="Times New Roman"/>
          <w:spacing w:val="-6"/>
          <w:kern w:val="2"/>
          <w:sz w:val="32"/>
          <w:szCs w:val="20"/>
          <w:lang w:val="en-US" w:eastAsia="zh-CN" w:bidi="ar-SA"/>
        </w:rPr>
        <w:t>中标人提供的货物质保期为</w:t>
      </w:r>
      <w:r>
        <w:rPr>
          <w:rFonts w:hint="default" w:ascii="Times New Roman" w:hAnsi="Times New Roman" w:eastAsia="仿宋_GB2312" w:cs="Times New Roman"/>
          <w:spacing w:val="-6"/>
          <w:kern w:val="2"/>
          <w:sz w:val="32"/>
          <w:szCs w:val="20"/>
          <w:lang w:val="en-US" w:eastAsia="zh-CN" w:bidi="ar-SA"/>
        </w:rPr>
        <w:t>5</w:t>
      </w:r>
      <w:r>
        <w:rPr>
          <w:rFonts w:hint="eastAsia" w:ascii="仿宋_GB2312" w:hAnsi="仿宋_GB2312" w:eastAsia="仿宋_GB2312" w:cs="Times New Roman"/>
          <w:spacing w:val="-6"/>
          <w:kern w:val="2"/>
          <w:sz w:val="32"/>
          <w:szCs w:val="20"/>
          <w:lang w:val="en-US" w:eastAsia="zh-CN" w:bidi="ar-SA"/>
        </w:rPr>
        <w:t>年或</w:t>
      </w:r>
      <w:r>
        <w:rPr>
          <w:rFonts w:hint="default" w:ascii="Times New Roman" w:hAnsi="Times New Roman" w:eastAsia="仿宋_GB2312" w:cs="Times New Roman"/>
          <w:spacing w:val="-6"/>
          <w:kern w:val="2"/>
          <w:sz w:val="32"/>
          <w:szCs w:val="20"/>
          <w:lang w:val="en-US" w:eastAsia="zh-CN" w:bidi="ar-SA"/>
        </w:rPr>
        <w:t>5</w:t>
      </w:r>
      <w:r>
        <w:rPr>
          <w:rFonts w:hint="eastAsia" w:ascii="仿宋_GB2312" w:hAnsi="仿宋_GB2312" w:eastAsia="仿宋_GB2312" w:cs="Times New Roman"/>
          <w:spacing w:val="-6"/>
          <w:kern w:val="2"/>
          <w:sz w:val="32"/>
          <w:szCs w:val="20"/>
          <w:lang w:val="en-US" w:eastAsia="zh-CN" w:bidi="ar-SA"/>
        </w:rPr>
        <w:t>年以上，质保期内免费上门维修服务，若中标人所投产品有质量问题，中标人应免费更换和维修，保修期后，中标人只得收取优惠配件费。</w:t>
      </w:r>
    </w:p>
    <w:p w14:paraId="6D89E773">
      <w:pPr>
        <w:keepLines w:val="0"/>
        <w:pageBreakBefore w:val="0"/>
        <w:tabs>
          <w:tab w:val="left" w:pos="709"/>
        </w:tabs>
        <w:kinsoku/>
        <w:wordWrap/>
        <w:overflowPunct/>
        <w:topLinePunct w:val="0"/>
        <w:bidi w:val="0"/>
        <w:snapToGrid/>
        <w:spacing w:line="380" w:lineRule="exact"/>
        <w:ind w:firstLine="480"/>
        <w:rPr>
          <w:rFonts w:hint="eastAsia" w:ascii="仿宋_GB2312" w:hAnsi="仿宋_GB2312" w:eastAsia="仿宋_GB2312" w:cs="Times New Roman"/>
          <w:spacing w:val="-6"/>
          <w:kern w:val="2"/>
          <w:sz w:val="32"/>
          <w:szCs w:val="20"/>
          <w:lang w:val="en-US" w:eastAsia="zh-CN" w:bidi="ar-SA"/>
        </w:rPr>
      </w:pPr>
      <w:r>
        <w:rPr>
          <w:rFonts w:hint="eastAsia" w:ascii="Times New Roman" w:hAnsi="Times New Roman" w:eastAsia="楷体_GB2312" w:cs="Times New Roman"/>
          <w:spacing w:val="-6"/>
          <w:kern w:val="2"/>
          <w:sz w:val="32"/>
          <w:szCs w:val="20"/>
          <w:lang w:val="en-US" w:eastAsia="zh-CN" w:bidi="ar-SA"/>
        </w:rPr>
        <w:t>5.</w:t>
      </w:r>
      <w:r>
        <w:rPr>
          <w:rFonts w:hint="eastAsia" w:ascii="仿宋_GB2312" w:hAnsi="仿宋_GB2312" w:eastAsia="仿宋_GB2312" w:cs="Times New Roman"/>
          <w:spacing w:val="-6"/>
          <w:kern w:val="2"/>
          <w:sz w:val="32"/>
          <w:szCs w:val="20"/>
          <w:lang w:val="en-US" w:eastAsia="zh-CN" w:bidi="ar-SA"/>
        </w:rPr>
        <w:t>质保期为项目验收合格，由成交双方签署验收合格之日算起。</w:t>
      </w:r>
    </w:p>
    <w:p w14:paraId="1A98F931">
      <w:pPr>
        <w:keepLines w:val="0"/>
        <w:pageBreakBefore w:val="0"/>
        <w:tabs>
          <w:tab w:val="left" w:pos="709"/>
        </w:tabs>
        <w:kinsoku/>
        <w:wordWrap/>
        <w:overflowPunct/>
        <w:topLinePunct w:val="0"/>
        <w:bidi w:val="0"/>
        <w:snapToGrid/>
        <w:spacing w:line="380" w:lineRule="exact"/>
        <w:ind w:firstLine="480"/>
        <w:rPr>
          <w:rFonts w:hint="eastAsia" w:ascii="仿宋_GB2312" w:hAnsi="仿宋_GB2312" w:eastAsia="仿宋_GB2312" w:cs="Times New Roman"/>
          <w:spacing w:val="-6"/>
          <w:kern w:val="2"/>
          <w:sz w:val="32"/>
          <w:szCs w:val="20"/>
          <w:lang w:val="en-US" w:eastAsia="zh-CN" w:bidi="ar-SA"/>
        </w:rPr>
      </w:pPr>
      <w:r>
        <w:rPr>
          <w:rFonts w:hint="eastAsia" w:ascii="Times New Roman" w:hAnsi="Times New Roman" w:eastAsia="楷体_GB2312" w:cs="Times New Roman"/>
          <w:spacing w:val="-6"/>
          <w:kern w:val="2"/>
          <w:sz w:val="32"/>
          <w:szCs w:val="20"/>
          <w:lang w:val="en-US" w:eastAsia="zh-CN" w:bidi="ar-SA"/>
        </w:rPr>
        <w:t>6.</w:t>
      </w:r>
      <w:r>
        <w:rPr>
          <w:rFonts w:hint="eastAsia" w:ascii="楷体_GB2312" w:hAnsi="楷体_GB2312" w:eastAsia="楷体_GB2312" w:cs="楷体_GB2312"/>
          <w:spacing w:val="-6"/>
          <w:kern w:val="2"/>
          <w:sz w:val="32"/>
          <w:szCs w:val="20"/>
          <w:lang w:val="en-US" w:eastAsia="zh-CN" w:bidi="ar-SA"/>
        </w:rPr>
        <w:t>交付使用时间：</w:t>
      </w:r>
      <w:r>
        <w:rPr>
          <w:rFonts w:hint="eastAsia" w:ascii="仿宋_GB2312" w:hAnsi="仿宋_GB2312" w:eastAsia="仿宋_GB2312" w:cs="Times New Roman"/>
          <w:spacing w:val="-6"/>
          <w:kern w:val="2"/>
          <w:sz w:val="32"/>
          <w:szCs w:val="20"/>
          <w:lang w:val="en-US" w:eastAsia="zh-CN" w:bidi="ar-SA"/>
        </w:rPr>
        <w:t>中标人在合同签定并生效后</w:t>
      </w:r>
      <w:r>
        <w:rPr>
          <w:rFonts w:hint="eastAsia" w:ascii="Times New Roman" w:hAnsi="Times New Roman" w:eastAsia="仿宋_GB2312" w:cs="Times New Roman"/>
          <w:spacing w:val="-6"/>
          <w:kern w:val="2"/>
          <w:sz w:val="32"/>
          <w:szCs w:val="20"/>
          <w:lang w:val="en-US" w:eastAsia="zh-CN" w:bidi="ar-SA"/>
        </w:rPr>
        <w:t>30</w:t>
      </w:r>
      <w:r>
        <w:rPr>
          <w:rFonts w:hint="eastAsia" w:ascii="仿宋_GB2312" w:hAnsi="仿宋_GB2312" w:eastAsia="仿宋_GB2312" w:cs="Times New Roman"/>
          <w:spacing w:val="-6"/>
          <w:kern w:val="2"/>
          <w:sz w:val="32"/>
          <w:szCs w:val="20"/>
          <w:lang w:val="en-US" w:eastAsia="zh-CN" w:bidi="ar-SA"/>
        </w:rPr>
        <w:t>天内完成货安装验收并交付使用。</w:t>
      </w:r>
    </w:p>
    <w:p w14:paraId="13062D19">
      <w:pPr>
        <w:keepLines w:val="0"/>
        <w:pageBreakBefore w:val="0"/>
        <w:tabs>
          <w:tab w:val="left" w:pos="709"/>
        </w:tabs>
        <w:kinsoku/>
        <w:wordWrap/>
        <w:overflowPunct/>
        <w:topLinePunct w:val="0"/>
        <w:bidi w:val="0"/>
        <w:snapToGrid/>
        <w:spacing w:line="380" w:lineRule="exact"/>
        <w:ind w:firstLine="480"/>
        <w:rPr>
          <w:rFonts w:hint="eastAsia" w:ascii="仿宋_GB2312" w:hAnsi="仿宋_GB2312" w:eastAsia="仿宋_GB2312" w:cs="Times New Roman"/>
          <w:spacing w:val="-6"/>
          <w:kern w:val="2"/>
          <w:sz w:val="32"/>
          <w:szCs w:val="20"/>
          <w:lang w:val="en-US" w:eastAsia="zh-CN" w:bidi="ar-SA"/>
        </w:rPr>
      </w:pPr>
      <w:r>
        <w:rPr>
          <w:rFonts w:hint="eastAsia" w:ascii="Times New Roman" w:hAnsi="Times New Roman" w:eastAsia="楷体_GB2312" w:cs="Times New Roman"/>
          <w:spacing w:val="-6"/>
          <w:kern w:val="2"/>
          <w:sz w:val="32"/>
          <w:szCs w:val="20"/>
          <w:lang w:val="en-US" w:eastAsia="zh-CN" w:bidi="ar-SA"/>
        </w:rPr>
        <w:t>7.</w:t>
      </w:r>
      <w:r>
        <w:rPr>
          <w:rFonts w:hint="eastAsia" w:ascii="楷体_GB2312" w:hAnsi="楷体_GB2312" w:eastAsia="楷体_GB2312" w:cs="楷体_GB2312"/>
          <w:spacing w:val="-6"/>
          <w:kern w:val="2"/>
          <w:sz w:val="32"/>
          <w:szCs w:val="20"/>
          <w:lang w:val="en-US" w:eastAsia="zh-CN" w:bidi="ar-SA"/>
        </w:rPr>
        <w:t>故障维修响应时间要求：</w:t>
      </w:r>
      <w:r>
        <w:rPr>
          <w:rFonts w:hint="eastAsia" w:ascii="仿宋_GB2312" w:hAnsi="仿宋_GB2312" w:eastAsia="仿宋_GB2312" w:cs="Times New Roman"/>
          <w:spacing w:val="-6"/>
          <w:kern w:val="2"/>
          <w:sz w:val="32"/>
          <w:szCs w:val="20"/>
          <w:lang w:val="en-US" w:eastAsia="zh-CN" w:bidi="ar-SA"/>
        </w:rPr>
        <w:t>货物发生故障时，中标人维修人员应在接到用户故障通知后</w:t>
      </w:r>
      <w:r>
        <w:rPr>
          <w:rFonts w:hint="default" w:ascii="Times New Roman" w:hAnsi="Times New Roman" w:eastAsia="仿宋_GB2312" w:cs="Times New Roman"/>
          <w:spacing w:val="-6"/>
          <w:kern w:val="2"/>
          <w:sz w:val="32"/>
          <w:szCs w:val="20"/>
          <w:lang w:val="en-US" w:eastAsia="zh-CN" w:bidi="ar-SA"/>
        </w:rPr>
        <w:t>2</w:t>
      </w:r>
      <w:r>
        <w:rPr>
          <w:rFonts w:hint="eastAsia" w:ascii="仿宋_GB2312" w:hAnsi="仿宋_GB2312" w:eastAsia="仿宋_GB2312" w:cs="Times New Roman"/>
          <w:spacing w:val="-6"/>
          <w:kern w:val="2"/>
          <w:sz w:val="32"/>
          <w:szCs w:val="20"/>
          <w:lang w:val="en-US" w:eastAsia="zh-CN" w:bidi="ar-SA"/>
        </w:rPr>
        <w:t>小时响应</w:t>
      </w:r>
      <w:r>
        <w:rPr>
          <w:rFonts w:hint="eastAsia" w:ascii="Times New Roman" w:hAnsi="Times New Roman" w:eastAsia="仿宋_GB2312" w:cs="Times New Roman"/>
          <w:spacing w:val="-6"/>
          <w:kern w:val="2"/>
          <w:sz w:val="32"/>
          <w:szCs w:val="20"/>
          <w:lang w:val="en-US" w:eastAsia="zh-CN" w:bidi="ar-SA"/>
        </w:rPr>
        <w:t>，4</w:t>
      </w:r>
      <w:r>
        <w:rPr>
          <w:rFonts w:hint="eastAsia" w:ascii="仿宋_GB2312" w:hAnsi="仿宋_GB2312" w:eastAsia="仿宋_GB2312" w:cs="Times New Roman"/>
          <w:spacing w:val="-6"/>
          <w:kern w:val="2"/>
          <w:sz w:val="32"/>
          <w:szCs w:val="20"/>
          <w:lang w:val="en-US" w:eastAsia="zh-CN" w:bidi="ar-SA"/>
        </w:rPr>
        <w:t>小时赶到故障现场对货物进行修理、故障排除，若货物需返厂修理，则货物自取走至维复并交回用户方的时间不能超过</w:t>
      </w:r>
      <w:r>
        <w:rPr>
          <w:rFonts w:hint="eastAsia" w:ascii="Times New Roman" w:hAnsi="Times New Roman" w:eastAsia="仿宋_GB2312" w:cs="Times New Roman"/>
          <w:spacing w:val="-6"/>
          <w:kern w:val="2"/>
          <w:sz w:val="32"/>
          <w:szCs w:val="20"/>
          <w:lang w:val="en-US" w:eastAsia="zh-CN" w:bidi="ar-SA"/>
        </w:rPr>
        <w:t>48</w:t>
      </w:r>
      <w:r>
        <w:rPr>
          <w:rFonts w:hint="eastAsia" w:ascii="仿宋_GB2312" w:hAnsi="仿宋_GB2312" w:eastAsia="仿宋_GB2312" w:cs="Times New Roman"/>
          <w:spacing w:val="-6"/>
          <w:kern w:val="2"/>
          <w:sz w:val="32"/>
          <w:szCs w:val="20"/>
          <w:lang w:val="en-US" w:eastAsia="zh-CN" w:bidi="ar-SA"/>
        </w:rPr>
        <w:t>小时，否则提供相关代替用品，直至排除故障。</w:t>
      </w:r>
    </w:p>
    <w:p w14:paraId="1F62D602">
      <w:pPr>
        <w:keepLines w:val="0"/>
        <w:pageBreakBefore w:val="0"/>
        <w:tabs>
          <w:tab w:val="left" w:pos="709"/>
        </w:tabs>
        <w:kinsoku/>
        <w:wordWrap/>
        <w:overflowPunct/>
        <w:topLinePunct w:val="0"/>
        <w:bidi w:val="0"/>
        <w:snapToGrid/>
        <w:spacing w:line="380" w:lineRule="exact"/>
        <w:ind w:firstLine="480"/>
        <w:rPr>
          <w:rFonts w:hint="eastAsia" w:ascii="仿宋_GB2312" w:hAnsi="仿宋_GB2312" w:eastAsia="仿宋_GB2312" w:cs="Times New Roman"/>
          <w:spacing w:val="-6"/>
          <w:kern w:val="2"/>
          <w:sz w:val="32"/>
          <w:szCs w:val="20"/>
          <w:lang w:val="en-US" w:eastAsia="zh-CN" w:bidi="ar-SA"/>
        </w:rPr>
      </w:pPr>
      <w:r>
        <w:rPr>
          <w:rFonts w:hint="eastAsia" w:ascii="Times New Roman" w:hAnsi="Times New Roman" w:eastAsia="楷体_GB2312" w:cs="Times New Roman"/>
          <w:spacing w:val="-6"/>
          <w:kern w:val="2"/>
          <w:sz w:val="32"/>
          <w:szCs w:val="20"/>
          <w:lang w:val="en-US" w:eastAsia="zh-CN" w:bidi="ar-SA"/>
        </w:rPr>
        <w:t>8.</w:t>
      </w:r>
      <w:r>
        <w:rPr>
          <w:rFonts w:hint="eastAsia" w:ascii="仿宋_GB2312" w:hAnsi="仿宋_GB2312" w:eastAsia="仿宋_GB2312" w:cs="Times New Roman"/>
          <w:spacing w:val="-6"/>
          <w:kern w:val="2"/>
          <w:sz w:val="32"/>
          <w:szCs w:val="20"/>
          <w:lang w:val="en-US" w:eastAsia="zh-CN" w:bidi="ar-SA"/>
        </w:rPr>
        <w:t>所有服务方式均为中标人上门保修，即中标人派人到采购人现场进行维修，由此产生的一切费用均由中标人承担。</w:t>
      </w:r>
    </w:p>
    <w:p w14:paraId="77270F8F">
      <w:pPr>
        <w:keepLines w:val="0"/>
        <w:pageBreakBefore w:val="0"/>
        <w:tabs>
          <w:tab w:val="left" w:pos="709"/>
        </w:tabs>
        <w:kinsoku/>
        <w:wordWrap/>
        <w:overflowPunct/>
        <w:topLinePunct w:val="0"/>
        <w:bidi w:val="0"/>
        <w:snapToGrid/>
        <w:spacing w:line="380" w:lineRule="exact"/>
        <w:ind w:firstLine="480"/>
        <w:rPr>
          <w:rFonts w:hint="eastAsia" w:ascii="仿宋_GB2312" w:hAnsi="仿宋_GB2312" w:eastAsia="仿宋_GB2312" w:cs="Times New Roman"/>
          <w:spacing w:val="-6"/>
          <w:kern w:val="2"/>
          <w:sz w:val="32"/>
          <w:szCs w:val="20"/>
          <w:lang w:val="en-US" w:eastAsia="zh-CN" w:bidi="ar-SA"/>
        </w:rPr>
      </w:pPr>
      <w:r>
        <w:rPr>
          <w:rFonts w:hint="eastAsia" w:ascii="Times New Roman" w:hAnsi="Times New Roman" w:eastAsia="楷体_GB2312" w:cs="Times New Roman"/>
          <w:spacing w:val="-6"/>
          <w:kern w:val="2"/>
          <w:sz w:val="32"/>
          <w:szCs w:val="20"/>
          <w:lang w:val="en-US" w:eastAsia="zh-CN" w:bidi="ar-SA"/>
        </w:rPr>
        <w:t>9.</w:t>
      </w:r>
      <w:r>
        <w:rPr>
          <w:rFonts w:hint="eastAsia" w:ascii="仿宋_GB2312" w:hAnsi="仿宋_GB2312" w:eastAsia="仿宋_GB2312" w:cs="Times New Roman"/>
          <w:spacing w:val="-6"/>
          <w:kern w:val="2"/>
          <w:sz w:val="32"/>
          <w:szCs w:val="20"/>
          <w:lang w:val="en-US" w:eastAsia="zh-CN" w:bidi="ar-SA"/>
        </w:rPr>
        <w:t>供应商应认真核对报价信息，确保在符合采购需求中技术要求和商务要求的前提下进项报价，并对其真实性负责；若与实际不符，一经查实，将视为弄虚作假，当次报价无效，并按政府采购相关规定给予处理。</w:t>
      </w:r>
    </w:p>
    <w:p w14:paraId="67E96C37">
      <w:pPr>
        <w:keepLines w:val="0"/>
        <w:pageBreakBefore w:val="0"/>
        <w:tabs>
          <w:tab w:val="left" w:pos="709"/>
        </w:tabs>
        <w:kinsoku/>
        <w:wordWrap/>
        <w:overflowPunct/>
        <w:topLinePunct w:val="0"/>
        <w:bidi w:val="0"/>
        <w:snapToGrid/>
        <w:spacing w:line="380" w:lineRule="exact"/>
        <w:ind w:firstLine="480"/>
        <w:rPr>
          <w:rFonts w:hint="eastAsia" w:ascii="仿宋_GB2312" w:hAnsi="仿宋_GB2312" w:eastAsia="仿宋_GB2312" w:cs="Times New Roman"/>
          <w:spacing w:val="-6"/>
          <w:kern w:val="2"/>
          <w:sz w:val="32"/>
          <w:szCs w:val="20"/>
          <w:lang w:val="en-US" w:eastAsia="zh-CN" w:bidi="ar-SA"/>
        </w:rPr>
      </w:pPr>
      <w:r>
        <w:rPr>
          <w:rFonts w:hint="eastAsia" w:ascii="Times New Roman" w:hAnsi="Times New Roman" w:eastAsia="楷体_GB2312" w:cs="Times New Roman"/>
          <w:spacing w:val="-6"/>
          <w:kern w:val="2"/>
          <w:sz w:val="32"/>
          <w:szCs w:val="20"/>
          <w:lang w:val="en-US" w:eastAsia="zh-CN" w:bidi="ar-SA"/>
        </w:rPr>
        <w:t>10.项目的交货地点：</w:t>
      </w:r>
      <w:r>
        <w:rPr>
          <w:rFonts w:hint="eastAsia" w:ascii="仿宋_GB2312" w:hAnsi="仿宋_GB2312" w:eastAsia="仿宋_GB2312" w:cs="Times New Roman"/>
          <w:spacing w:val="-6"/>
          <w:kern w:val="2"/>
          <w:sz w:val="32"/>
          <w:szCs w:val="20"/>
          <w:lang w:val="en-US" w:eastAsia="zh-CN" w:bidi="ar-SA"/>
        </w:rPr>
        <w:t>中山市第二人民医院</w:t>
      </w:r>
    </w:p>
    <w:p w14:paraId="22526683">
      <w:pPr>
        <w:pStyle w:val="2"/>
        <w:keepNext w:val="0"/>
        <w:keepLines w:val="0"/>
        <w:pageBreakBefore w:val="0"/>
        <w:widowControl w:val="0"/>
        <w:numPr>
          <w:ilvl w:val="0"/>
          <w:numId w:val="0"/>
        </w:numPr>
        <w:kinsoku/>
        <w:wordWrap/>
        <w:overflowPunct/>
        <w:topLinePunct w:val="0"/>
        <w:autoSpaceDE/>
        <w:autoSpaceDN/>
        <w:bidi w:val="0"/>
        <w:adjustRightInd/>
        <w:snapToGrid/>
        <w:spacing w:line="380" w:lineRule="exact"/>
        <w:ind w:firstLine="640" w:firstLineChars="200"/>
        <w:textAlignment w:val="auto"/>
        <w:rPr>
          <w:rFonts w:hint="eastAsia" w:ascii="黑体" w:hAnsi="黑体" w:eastAsia="黑体" w:cs="黑体"/>
          <w:snapToGrid/>
          <w:color w:val="000000"/>
          <w:kern w:val="2"/>
          <w:sz w:val="32"/>
          <w:szCs w:val="32"/>
          <w:lang w:val="en-US" w:eastAsia="zh-CN" w:bidi="ar-SA"/>
        </w:rPr>
      </w:pPr>
      <w:r>
        <w:rPr>
          <w:rFonts w:hint="eastAsia" w:ascii="黑体" w:hAnsi="黑体" w:eastAsia="黑体" w:cs="黑体"/>
          <w:snapToGrid/>
          <w:color w:val="000000"/>
          <w:kern w:val="2"/>
          <w:sz w:val="32"/>
          <w:szCs w:val="32"/>
          <w:lang w:val="en-US" w:eastAsia="zh-CN" w:bidi="ar-SA"/>
        </w:rPr>
        <w:t>六、安装调试</w:t>
      </w:r>
    </w:p>
    <w:p w14:paraId="010DABC9">
      <w:pPr>
        <w:keepLines w:val="0"/>
        <w:pageBreakBefore w:val="0"/>
        <w:widowControl/>
        <w:tabs>
          <w:tab w:val="left" w:pos="424"/>
        </w:tabs>
        <w:kinsoku/>
        <w:wordWrap/>
        <w:overflowPunct/>
        <w:topLinePunct w:val="0"/>
        <w:bidi w:val="0"/>
        <w:snapToGrid/>
        <w:spacing w:line="380" w:lineRule="exact"/>
        <w:ind w:firstLine="480"/>
        <w:jc w:val="left"/>
        <w:rPr>
          <w:rFonts w:hint="eastAsia" w:ascii="仿宋_GB2312" w:hAnsi="仿宋_GB2312" w:eastAsia="仿宋_GB2312" w:cs="Times New Roman"/>
          <w:spacing w:val="-6"/>
          <w:kern w:val="2"/>
          <w:sz w:val="32"/>
          <w:szCs w:val="20"/>
          <w:lang w:val="en-US" w:eastAsia="zh-CN" w:bidi="ar-SA"/>
        </w:rPr>
      </w:pPr>
      <w:r>
        <w:rPr>
          <w:rFonts w:hint="eastAsia" w:ascii="Times New Roman" w:hAnsi="Times New Roman" w:eastAsia="楷体_GB2312" w:cs="Times New Roman"/>
          <w:spacing w:val="-6"/>
          <w:kern w:val="2"/>
          <w:sz w:val="32"/>
          <w:szCs w:val="20"/>
          <w:lang w:val="en-US" w:eastAsia="zh-CN" w:bidi="ar-SA"/>
        </w:rPr>
        <w:t>1.</w:t>
      </w:r>
      <w:r>
        <w:rPr>
          <w:rFonts w:hint="eastAsia" w:ascii="仿宋_GB2312" w:hAnsi="仿宋_GB2312" w:eastAsia="仿宋_GB2312" w:cs="Times New Roman"/>
          <w:spacing w:val="-6"/>
          <w:kern w:val="2"/>
          <w:sz w:val="32"/>
          <w:szCs w:val="20"/>
          <w:lang w:val="en-US" w:eastAsia="zh-CN" w:bidi="ar-SA"/>
        </w:rPr>
        <w:t>中标人负责至采购人指定的安装地点进行安装调试。</w:t>
      </w:r>
    </w:p>
    <w:p w14:paraId="29717DB4">
      <w:pPr>
        <w:keepLines w:val="0"/>
        <w:pageBreakBefore w:val="0"/>
        <w:widowControl/>
        <w:kinsoku/>
        <w:wordWrap/>
        <w:overflowPunct/>
        <w:topLinePunct w:val="0"/>
        <w:bidi w:val="0"/>
        <w:snapToGrid/>
        <w:spacing w:line="380" w:lineRule="exact"/>
        <w:ind w:firstLine="480"/>
        <w:textAlignment w:val="center"/>
        <w:rPr>
          <w:rFonts w:hint="eastAsia" w:ascii="仿宋_GB2312" w:hAnsi="仿宋_GB2312" w:eastAsia="仿宋_GB2312" w:cs="Times New Roman"/>
          <w:spacing w:val="-6"/>
          <w:kern w:val="2"/>
          <w:sz w:val="32"/>
          <w:szCs w:val="20"/>
          <w:lang w:val="en-US" w:eastAsia="zh-CN" w:bidi="ar-SA"/>
        </w:rPr>
      </w:pPr>
      <w:r>
        <w:rPr>
          <w:rFonts w:hint="eastAsia" w:ascii="Times New Roman" w:hAnsi="Times New Roman" w:eastAsia="楷体_GB2312" w:cs="Times New Roman"/>
          <w:spacing w:val="-6"/>
          <w:kern w:val="2"/>
          <w:sz w:val="32"/>
          <w:szCs w:val="20"/>
          <w:lang w:val="en-US" w:eastAsia="zh-CN" w:bidi="ar-SA"/>
        </w:rPr>
        <w:t>2.货物安装：</w:t>
      </w:r>
      <w:r>
        <w:rPr>
          <w:rFonts w:hint="eastAsia" w:ascii="仿宋_GB2312" w:hAnsi="仿宋_GB2312" w:eastAsia="仿宋_GB2312" w:cs="Times New Roman"/>
          <w:spacing w:val="-6"/>
          <w:kern w:val="2"/>
          <w:sz w:val="32"/>
          <w:szCs w:val="20"/>
          <w:lang w:val="en-US" w:eastAsia="zh-CN" w:bidi="ar-SA"/>
        </w:rPr>
        <w:t>中标人负责至采购方指定的安装地点进行安装调试，保障采购项目的物资运行正常；</w:t>
      </w:r>
    </w:p>
    <w:p w14:paraId="4FD941F3">
      <w:pPr>
        <w:keepLines w:val="0"/>
        <w:pageBreakBefore w:val="0"/>
        <w:widowControl/>
        <w:tabs>
          <w:tab w:val="left" w:pos="424"/>
        </w:tabs>
        <w:kinsoku/>
        <w:wordWrap/>
        <w:overflowPunct/>
        <w:topLinePunct w:val="0"/>
        <w:bidi w:val="0"/>
        <w:snapToGrid/>
        <w:spacing w:line="380" w:lineRule="exact"/>
        <w:ind w:firstLine="480"/>
        <w:jc w:val="left"/>
        <w:rPr>
          <w:rFonts w:hint="eastAsia" w:ascii="仿宋_GB2312" w:hAnsi="仿宋_GB2312" w:eastAsia="仿宋_GB2312" w:cs="Times New Roman"/>
          <w:spacing w:val="-6"/>
          <w:kern w:val="2"/>
          <w:sz w:val="32"/>
          <w:szCs w:val="20"/>
          <w:lang w:val="en-US" w:eastAsia="zh-CN" w:bidi="ar-SA"/>
        </w:rPr>
      </w:pPr>
      <w:r>
        <w:rPr>
          <w:rFonts w:hint="eastAsia" w:ascii="Times New Roman" w:hAnsi="Times New Roman" w:eastAsia="楷体_GB2312" w:cs="Times New Roman"/>
          <w:spacing w:val="-6"/>
          <w:kern w:val="2"/>
          <w:sz w:val="32"/>
          <w:szCs w:val="20"/>
          <w:lang w:val="en-US" w:eastAsia="zh-CN" w:bidi="ar-SA"/>
        </w:rPr>
        <w:t>3.</w:t>
      </w:r>
      <w:r>
        <w:rPr>
          <w:rFonts w:hint="eastAsia" w:ascii="仿宋_GB2312" w:hAnsi="仿宋_GB2312" w:eastAsia="仿宋_GB2312" w:cs="Times New Roman"/>
          <w:spacing w:val="-6"/>
          <w:kern w:val="2"/>
          <w:sz w:val="32"/>
          <w:szCs w:val="20"/>
          <w:lang w:val="en-US" w:eastAsia="zh-CN" w:bidi="ar-SA"/>
        </w:rPr>
        <w:t>安装所需工具设施物料由中标人自备，自费运到现场，完工后自费搬走。</w:t>
      </w:r>
    </w:p>
    <w:p w14:paraId="363AC3B3">
      <w:pPr>
        <w:keepLines w:val="0"/>
        <w:pageBreakBefore w:val="0"/>
        <w:widowControl/>
        <w:tabs>
          <w:tab w:val="left" w:pos="424"/>
          <w:tab w:val="left" w:pos="6810"/>
        </w:tabs>
        <w:kinsoku/>
        <w:wordWrap/>
        <w:overflowPunct/>
        <w:topLinePunct w:val="0"/>
        <w:bidi w:val="0"/>
        <w:snapToGrid/>
        <w:spacing w:line="380" w:lineRule="exact"/>
        <w:ind w:firstLine="480"/>
        <w:jc w:val="left"/>
        <w:rPr>
          <w:rFonts w:hint="eastAsia" w:ascii="仿宋_GB2312" w:hAnsi="仿宋_GB2312" w:eastAsia="仿宋_GB2312" w:cs="Times New Roman"/>
          <w:spacing w:val="-6"/>
          <w:kern w:val="2"/>
          <w:sz w:val="32"/>
          <w:szCs w:val="20"/>
          <w:lang w:val="en-US" w:eastAsia="zh-CN" w:bidi="ar-SA"/>
        </w:rPr>
      </w:pPr>
      <w:r>
        <w:rPr>
          <w:rFonts w:hint="eastAsia" w:ascii="Times New Roman" w:hAnsi="Times New Roman" w:eastAsia="楷体_GB2312" w:cs="Times New Roman"/>
          <w:spacing w:val="-6"/>
          <w:kern w:val="2"/>
          <w:sz w:val="32"/>
          <w:szCs w:val="20"/>
          <w:lang w:val="en-US" w:eastAsia="zh-CN" w:bidi="ar-SA"/>
        </w:rPr>
        <w:t>4.</w:t>
      </w:r>
      <w:r>
        <w:rPr>
          <w:rFonts w:hint="eastAsia" w:ascii="仿宋_GB2312" w:hAnsi="仿宋_GB2312" w:eastAsia="仿宋_GB2312" w:cs="Times New Roman"/>
          <w:spacing w:val="-6"/>
          <w:kern w:val="2"/>
          <w:sz w:val="32"/>
          <w:szCs w:val="20"/>
          <w:lang w:val="en-US" w:eastAsia="zh-CN" w:bidi="ar-SA"/>
        </w:rPr>
        <w:t>安装完工后产生的垃圾需自行清理撤出现场。</w:t>
      </w:r>
    </w:p>
    <w:p w14:paraId="38FE4E26">
      <w:pPr>
        <w:pStyle w:val="2"/>
        <w:keepNext w:val="0"/>
        <w:keepLines w:val="0"/>
        <w:pageBreakBefore w:val="0"/>
        <w:widowControl w:val="0"/>
        <w:numPr>
          <w:ilvl w:val="0"/>
          <w:numId w:val="0"/>
        </w:numPr>
        <w:kinsoku/>
        <w:wordWrap/>
        <w:overflowPunct/>
        <w:topLinePunct w:val="0"/>
        <w:autoSpaceDE/>
        <w:autoSpaceDN/>
        <w:bidi w:val="0"/>
        <w:adjustRightInd/>
        <w:snapToGrid/>
        <w:spacing w:line="380" w:lineRule="exact"/>
        <w:ind w:firstLine="640" w:firstLineChars="200"/>
        <w:textAlignment w:val="auto"/>
        <w:rPr>
          <w:rFonts w:hint="eastAsia" w:ascii="黑体" w:hAnsi="黑体" w:eastAsia="黑体" w:cs="黑体"/>
          <w:snapToGrid/>
          <w:color w:val="000000"/>
          <w:kern w:val="2"/>
          <w:sz w:val="32"/>
          <w:szCs w:val="32"/>
          <w:lang w:val="en-US" w:eastAsia="zh-CN" w:bidi="ar-SA"/>
        </w:rPr>
      </w:pPr>
      <w:r>
        <w:rPr>
          <w:rFonts w:hint="eastAsia" w:ascii="黑体" w:hAnsi="黑体" w:eastAsia="黑体" w:cs="黑体"/>
          <w:snapToGrid/>
          <w:color w:val="000000"/>
          <w:kern w:val="2"/>
          <w:sz w:val="32"/>
          <w:szCs w:val="32"/>
          <w:lang w:val="en-US" w:eastAsia="zh-CN" w:bidi="ar-SA"/>
        </w:rPr>
        <w:t>七、验收标准</w:t>
      </w:r>
    </w:p>
    <w:p w14:paraId="3C56BE86">
      <w:pPr>
        <w:keepLines w:val="0"/>
        <w:pageBreakBefore w:val="0"/>
        <w:widowControl/>
        <w:tabs>
          <w:tab w:val="left" w:pos="424"/>
        </w:tabs>
        <w:kinsoku/>
        <w:wordWrap/>
        <w:overflowPunct/>
        <w:topLinePunct w:val="0"/>
        <w:bidi w:val="0"/>
        <w:snapToGrid/>
        <w:spacing w:line="380" w:lineRule="exact"/>
        <w:ind w:firstLine="480"/>
        <w:jc w:val="left"/>
        <w:rPr>
          <w:rFonts w:hint="eastAsia" w:ascii="仿宋_GB2312" w:hAnsi="仿宋_GB2312" w:eastAsia="仿宋_GB2312" w:cs="Times New Roman"/>
          <w:spacing w:val="-6"/>
          <w:kern w:val="2"/>
          <w:sz w:val="32"/>
          <w:szCs w:val="20"/>
          <w:lang w:val="en-US" w:eastAsia="zh-CN" w:bidi="ar-SA"/>
        </w:rPr>
      </w:pPr>
      <w:r>
        <w:rPr>
          <w:rFonts w:hint="eastAsia" w:ascii="仿宋_GB2312" w:hAnsi="仿宋_GB2312" w:eastAsia="仿宋_GB2312" w:cs="Times New Roman"/>
          <w:spacing w:val="-6"/>
          <w:kern w:val="2"/>
          <w:sz w:val="32"/>
          <w:szCs w:val="20"/>
          <w:lang w:val="en-US" w:eastAsia="zh-CN" w:bidi="ar-SA"/>
        </w:rPr>
        <w:t>1.保证货物的名称、数量、规格等是与报价单一致。</w:t>
      </w:r>
    </w:p>
    <w:p w14:paraId="181B2935">
      <w:pPr>
        <w:keepLines w:val="0"/>
        <w:pageBreakBefore w:val="0"/>
        <w:widowControl/>
        <w:tabs>
          <w:tab w:val="left" w:pos="424"/>
        </w:tabs>
        <w:kinsoku/>
        <w:wordWrap/>
        <w:overflowPunct/>
        <w:topLinePunct w:val="0"/>
        <w:bidi w:val="0"/>
        <w:snapToGrid/>
        <w:spacing w:line="380" w:lineRule="exact"/>
        <w:ind w:firstLine="480"/>
        <w:jc w:val="left"/>
        <w:rPr>
          <w:rFonts w:hint="eastAsia" w:ascii="仿宋_GB2312" w:hAnsi="仿宋_GB2312" w:eastAsia="仿宋_GB2312" w:cs="Times New Roman"/>
          <w:spacing w:val="-6"/>
          <w:kern w:val="2"/>
          <w:sz w:val="32"/>
          <w:szCs w:val="20"/>
          <w:lang w:val="en-US" w:eastAsia="zh-CN" w:bidi="ar-SA"/>
        </w:rPr>
      </w:pPr>
      <w:r>
        <w:rPr>
          <w:rFonts w:hint="eastAsia" w:ascii="仿宋_GB2312" w:hAnsi="仿宋_GB2312" w:eastAsia="仿宋_GB2312" w:cs="Times New Roman"/>
          <w:spacing w:val="-6"/>
          <w:kern w:val="2"/>
          <w:sz w:val="32"/>
          <w:szCs w:val="20"/>
          <w:lang w:val="en-US" w:eastAsia="zh-CN" w:bidi="ar-SA"/>
        </w:rPr>
        <w:t>2.货物为原厂商未启封全新包装的产品。</w:t>
      </w:r>
    </w:p>
    <w:p w14:paraId="76320FF7">
      <w:pPr>
        <w:keepLines w:val="0"/>
        <w:pageBreakBefore w:val="0"/>
        <w:widowControl/>
        <w:tabs>
          <w:tab w:val="left" w:pos="424"/>
        </w:tabs>
        <w:kinsoku/>
        <w:wordWrap/>
        <w:overflowPunct/>
        <w:topLinePunct w:val="0"/>
        <w:bidi w:val="0"/>
        <w:snapToGrid/>
        <w:spacing w:line="380" w:lineRule="exact"/>
        <w:ind w:firstLine="480"/>
        <w:jc w:val="left"/>
        <w:rPr>
          <w:rFonts w:hint="eastAsia" w:ascii="仿宋_GB2312" w:hAnsi="仿宋_GB2312" w:eastAsia="仿宋_GB2312" w:cs="Times New Roman"/>
          <w:spacing w:val="-6"/>
          <w:kern w:val="2"/>
          <w:sz w:val="32"/>
          <w:szCs w:val="20"/>
          <w:lang w:val="en-US" w:eastAsia="zh-CN" w:bidi="ar-SA"/>
        </w:rPr>
      </w:pPr>
      <w:r>
        <w:rPr>
          <w:rFonts w:hint="eastAsia" w:ascii="仿宋_GB2312" w:hAnsi="仿宋_GB2312" w:eastAsia="仿宋_GB2312" w:cs="Times New Roman"/>
          <w:spacing w:val="-6"/>
          <w:kern w:val="2"/>
          <w:sz w:val="32"/>
          <w:szCs w:val="20"/>
          <w:lang w:val="en-US" w:eastAsia="zh-CN" w:bidi="ar-SA"/>
        </w:rPr>
        <w:t>3.在验收过程中发现数量不足或有质量、技术等问题，成交供货商应负责按照采购方的要求采取补足、更换或退货等处理措施，并承担由此发生的一切费用和损失。</w:t>
      </w:r>
    </w:p>
    <w:p w14:paraId="61781B21">
      <w:pPr>
        <w:pStyle w:val="2"/>
        <w:keepNext w:val="0"/>
        <w:keepLines w:val="0"/>
        <w:pageBreakBefore w:val="0"/>
        <w:widowControl w:val="0"/>
        <w:numPr>
          <w:ilvl w:val="0"/>
          <w:numId w:val="0"/>
        </w:numPr>
        <w:kinsoku/>
        <w:wordWrap/>
        <w:overflowPunct/>
        <w:topLinePunct w:val="0"/>
        <w:autoSpaceDE/>
        <w:autoSpaceDN/>
        <w:bidi w:val="0"/>
        <w:adjustRightInd/>
        <w:snapToGrid/>
        <w:spacing w:line="380" w:lineRule="exact"/>
        <w:ind w:firstLine="640" w:firstLineChars="200"/>
        <w:textAlignment w:val="auto"/>
        <w:rPr>
          <w:rFonts w:hint="eastAsia" w:ascii="黑体" w:hAnsi="黑体" w:eastAsia="黑体" w:cs="黑体"/>
          <w:snapToGrid/>
          <w:color w:val="000000"/>
          <w:kern w:val="2"/>
          <w:sz w:val="32"/>
          <w:szCs w:val="32"/>
          <w:lang w:val="en-US" w:eastAsia="zh-CN" w:bidi="ar-SA"/>
        </w:rPr>
      </w:pPr>
      <w:r>
        <w:rPr>
          <w:rFonts w:hint="eastAsia" w:ascii="黑体" w:hAnsi="黑体" w:eastAsia="黑体" w:cs="黑体"/>
          <w:snapToGrid/>
          <w:color w:val="000000"/>
          <w:kern w:val="2"/>
          <w:sz w:val="32"/>
          <w:szCs w:val="32"/>
          <w:lang w:val="en-US" w:eastAsia="zh-CN" w:bidi="ar-SA"/>
        </w:rPr>
        <w:t>八、付款方式</w:t>
      </w:r>
    </w:p>
    <w:p w14:paraId="191CED82">
      <w:pPr>
        <w:keepLines w:val="0"/>
        <w:pageBreakBefore w:val="0"/>
        <w:widowControl/>
        <w:tabs>
          <w:tab w:val="left" w:pos="424"/>
        </w:tabs>
        <w:kinsoku/>
        <w:wordWrap/>
        <w:overflowPunct/>
        <w:topLinePunct w:val="0"/>
        <w:bidi w:val="0"/>
        <w:snapToGrid/>
        <w:spacing w:line="380" w:lineRule="exact"/>
        <w:ind w:firstLine="480"/>
        <w:jc w:val="left"/>
        <w:rPr>
          <w:rFonts w:hint="eastAsia" w:ascii="仿宋_GB2312" w:hAnsi="仿宋_GB2312" w:eastAsia="仿宋_GB2312" w:cs="Times New Roman"/>
          <w:spacing w:val="-6"/>
          <w:kern w:val="2"/>
          <w:sz w:val="32"/>
          <w:szCs w:val="20"/>
          <w:lang w:val="en-US" w:eastAsia="zh-CN" w:bidi="ar-SA"/>
        </w:rPr>
      </w:pPr>
      <w:r>
        <w:rPr>
          <w:rFonts w:hint="eastAsia" w:ascii="仿宋_GB2312" w:hAnsi="仿宋_GB2312" w:eastAsia="仿宋_GB2312" w:cs="Times New Roman"/>
          <w:spacing w:val="-6"/>
          <w:kern w:val="2"/>
          <w:sz w:val="32"/>
          <w:szCs w:val="20"/>
          <w:lang w:val="en-US" w:eastAsia="zh-CN" w:bidi="ar-SA"/>
        </w:rPr>
        <w:t>1.</w:t>
      </w:r>
      <w:r>
        <w:rPr>
          <w:rFonts w:hint="eastAsia" w:ascii="Times New Roman" w:hAnsi="Times New Roman" w:eastAsia="楷体_GB2312" w:cs="Times New Roman"/>
          <w:spacing w:val="-6"/>
          <w:kern w:val="2"/>
          <w:sz w:val="32"/>
          <w:szCs w:val="20"/>
          <w:lang w:val="en-US" w:eastAsia="zh-CN" w:bidi="ar-SA"/>
        </w:rPr>
        <w:t>付款方式：</w:t>
      </w:r>
      <w:r>
        <w:rPr>
          <w:rFonts w:hint="eastAsia" w:ascii="仿宋_GB2312" w:hAnsi="仿宋_GB2312" w:eastAsia="仿宋_GB2312" w:cs="Times New Roman"/>
          <w:spacing w:val="-6"/>
          <w:kern w:val="2"/>
          <w:sz w:val="32"/>
          <w:szCs w:val="20"/>
          <w:lang w:val="en-US" w:eastAsia="zh-CN" w:bidi="ar-SA"/>
        </w:rPr>
        <w:t>验收合格后，采用银行转账方式一次性支付。</w:t>
      </w:r>
    </w:p>
    <w:p w14:paraId="72047944">
      <w:pPr>
        <w:keepLines w:val="0"/>
        <w:pageBreakBefore w:val="0"/>
        <w:widowControl/>
        <w:tabs>
          <w:tab w:val="left" w:pos="424"/>
        </w:tabs>
        <w:kinsoku/>
        <w:wordWrap/>
        <w:overflowPunct/>
        <w:topLinePunct w:val="0"/>
        <w:bidi w:val="0"/>
        <w:snapToGrid/>
        <w:spacing w:line="380" w:lineRule="exact"/>
        <w:ind w:firstLine="480"/>
        <w:jc w:val="left"/>
        <w:rPr>
          <w:rFonts w:hint="eastAsia" w:ascii="仿宋_GB2312" w:hAnsi="仿宋_GB2312" w:eastAsia="仿宋_GB2312" w:cs="Times New Roman"/>
          <w:spacing w:val="-6"/>
          <w:kern w:val="2"/>
          <w:sz w:val="32"/>
          <w:szCs w:val="20"/>
          <w:lang w:val="en-US" w:eastAsia="zh-CN" w:bidi="ar-SA"/>
        </w:rPr>
      </w:pPr>
      <w:r>
        <w:rPr>
          <w:rFonts w:hint="eastAsia" w:ascii="Times New Roman" w:hAnsi="Times New Roman" w:eastAsia="楷体_GB2312" w:cs="Times New Roman"/>
          <w:spacing w:val="-6"/>
          <w:kern w:val="2"/>
          <w:sz w:val="32"/>
          <w:szCs w:val="20"/>
          <w:lang w:val="en-US" w:eastAsia="zh-CN" w:bidi="ar-SA"/>
        </w:rPr>
        <w:t>2.付款时间：</w:t>
      </w:r>
      <w:r>
        <w:rPr>
          <w:rFonts w:hint="eastAsia" w:ascii="仿宋_GB2312" w:hAnsi="仿宋_GB2312" w:eastAsia="仿宋_GB2312" w:cs="Times New Roman"/>
          <w:spacing w:val="-6"/>
          <w:kern w:val="2"/>
          <w:sz w:val="32"/>
          <w:szCs w:val="20"/>
          <w:lang w:val="en-US" w:eastAsia="zh-CN" w:bidi="ar-SA"/>
        </w:rPr>
        <w:t>货物验收合格后，项目采购方自收到乙方提供的有效发票之日起</w:t>
      </w:r>
      <w:r>
        <w:rPr>
          <w:rFonts w:hint="eastAsia" w:ascii="Times New Roman" w:hAnsi="Times New Roman" w:eastAsia="楷体_GB2312" w:cs="Times New Roman"/>
          <w:spacing w:val="-6"/>
          <w:kern w:val="2"/>
          <w:sz w:val="32"/>
          <w:szCs w:val="20"/>
          <w:lang w:val="en-US" w:eastAsia="zh-CN" w:bidi="ar-SA"/>
        </w:rPr>
        <w:t>30</w:t>
      </w:r>
      <w:r>
        <w:rPr>
          <w:rFonts w:hint="eastAsia" w:ascii="仿宋_GB2312" w:hAnsi="仿宋_GB2312" w:eastAsia="仿宋_GB2312" w:cs="Times New Roman"/>
          <w:spacing w:val="-6"/>
          <w:kern w:val="2"/>
          <w:sz w:val="32"/>
          <w:szCs w:val="20"/>
          <w:lang w:val="en-US" w:eastAsia="zh-CN" w:bidi="ar-SA"/>
        </w:rPr>
        <w:t>天内以银行转账的方式一次性付清合同款项。</w:t>
      </w:r>
    </w:p>
    <w:p w14:paraId="2919F7D9">
      <w:pPr>
        <w:keepLines w:val="0"/>
        <w:pageBreakBefore w:val="0"/>
        <w:widowControl/>
        <w:tabs>
          <w:tab w:val="left" w:pos="424"/>
        </w:tabs>
        <w:kinsoku/>
        <w:wordWrap/>
        <w:overflowPunct/>
        <w:topLinePunct w:val="0"/>
        <w:bidi w:val="0"/>
        <w:snapToGrid/>
        <w:spacing w:line="380" w:lineRule="exact"/>
        <w:ind w:firstLine="480"/>
        <w:jc w:val="left"/>
        <w:rPr>
          <w:rFonts w:hint="eastAsia" w:ascii="仿宋_GB2312" w:hAnsi="仿宋_GB2312" w:eastAsia="仿宋_GB2312" w:cs="Times New Roman"/>
          <w:spacing w:val="-6"/>
          <w:kern w:val="2"/>
          <w:sz w:val="32"/>
          <w:szCs w:val="20"/>
          <w:lang w:val="en-US" w:eastAsia="zh-CN" w:bidi="ar-SA"/>
        </w:rPr>
      </w:pPr>
      <w:r>
        <w:rPr>
          <w:rFonts w:hint="default" w:ascii="Times New Roman" w:hAnsi="Times New Roman" w:eastAsia="仿宋_GB2312" w:cs="Times New Roman"/>
          <w:spacing w:val="-6"/>
          <w:kern w:val="2"/>
          <w:sz w:val="32"/>
          <w:szCs w:val="20"/>
          <w:lang w:val="en-US" w:eastAsia="zh-CN" w:bidi="ar-SA"/>
        </w:rPr>
        <w:t>3.</w:t>
      </w:r>
      <w:r>
        <w:rPr>
          <w:rFonts w:hint="eastAsia" w:ascii="仿宋_GB2312" w:hAnsi="仿宋_GB2312" w:eastAsia="仿宋_GB2312" w:cs="Times New Roman"/>
          <w:spacing w:val="-6"/>
          <w:kern w:val="2"/>
          <w:sz w:val="32"/>
          <w:szCs w:val="20"/>
          <w:lang w:val="en-US" w:eastAsia="zh-CN" w:bidi="ar-SA"/>
        </w:rPr>
        <w:t>因项目采购方使用的是财政资金，项目采购方在前款规定的付款时间为向政府采购支付部门提出办理财政支付申请手续的时间（不含政府财政支付部门审核的时间），在规定时间内提出支付申请手续后即视为项目采购方已经按期支付。</w:t>
      </w:r>
    </w:p>
    <w:sectPr>
      <w:headerReference r:id="rId7" w:type="first"/>
      <w:footerReference r:id="rId10" w:type="first"/>
      <w:headerReference r:id="rId5" w:type="default"/>
      <w:footerReference r:id="rId8" w:type="default"/>
      <w:headerReference r:id="rId6" w:type="even"/>
      <w:footerReference r:id="rId9" w:type="even"/>
      <w:pgSz w:w="11906" w:h="16838"/>
      <w:pgMar w:top="850" w:right="1021" w:bottom="850" w:left="850" w:header="851" w:footer="992" w:gutter="0"/>
      <w:cols w:space="0" w:num="1"/>
      <w:rtlGutter w:val="0"/>
      <w:docGrid w:type="lines" w:linePitch="314"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20"/>
      </w:pPr>
      <w:r>
        <w:separator/>
      </w:r>
    </w:p>
  </w:endnote>
  <w:endnote w:type="continuationSeparator" w:id="1">
    <w:p>
      <w:pPr>
        <w:spacing w:line="240" w:lineRule="auto"/>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auto"/>
    <w:pitch w:val="default"/>
    <w:sig w:usb0="E0002EFF" w:usb1="C000785B" w:usb2="00000009" w:usb3="00000000" w:csb0="400001FF" w:csb1="FFFF0000"/>
  </w:font>
  <w:font w:name="宋体">
    <w:panose1 w:val="02010600030101010101"/>
    <w:charset w:val="88"/>
    <w:family w:val="moder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楷体_GB2312">
    <w:panose1 w:val="02010609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6AA5B2">
    <w:pPr>
      <w:pStyle w:val="5"/>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5CDB02">
    <w:pPr>
      <w:pStyle w:val="5"/>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4A47928">
    <w:pPr>
      <w:pStyle w:val="5"/>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20"/>
      </w:pPr>
      <w:r>
        <w:separator/>
      </w:r>
    </w:p>
  </w:footnote>
  <w:footnote w:type="continuationSeparator" w:id="1">
    <w:p>
      <w:pPr>
        <w:spacing w:line="360" w:lineRule="auto"/>
        <w:ind w:firstLine="42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5E811DA">
    <w:pPr>
      <w:ind w:left="420" w:firstLine="0" w:firstLineChars="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ECDD9C8">
    <w:pPr>
      <w:pStyle w:val="6"/>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E8BC9C">
    <w:pPr>
      <w:pStyle w:val="6"/>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0"/>
  <w:bordersDoNotSurroundFooter w:val="0"/>
  <w:documentProtection w:enforcement="0"/>
  <w:defaultTabStop w:val="420"/>
  <w:drawingGridVerticalSpacing w:val="157"/>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hiZTE0YWY4MjI3YzVlMGE0NDkzOGY4M2VmMTM0YzQifQ=="/>
  </w:docVars>
  <w:rsids>
    <w:rsidRoot w:val="399B4880"/>
    <w:rsid w:val="00000999"/>
    <w:rsid w:val="00070644"/>
    <w:rsid w:val="00122D2D"/>
    <w:rsid w:val="001A66DC"/>
    <w:rsid w:val="001D5A8E"/>
    <w:rsid w:val="001F2F8D"/>
    <w:rsid w:val="002541F0"/>
    <w:rsid w:val="002D1EFC"/>
    <w:rsid w:val="003401C0"/>
    <w:rsid w:val="003407F8"/>
    <w:rsid w:val="003E7D18"/>
    <w:rsid w:val="003F26C0"/>
    <w:rsid w:val="00431ACE"/>
    <w:rsid w:val="00462A0A"/>
    <w:rsid w:val="004870AE"/>
    <w:rsid w:val="00574EFB"/>
    <w:rsid w:val="005B40E0"/>
    <w:rsid w:val="005C5A82"/>
    <w:rsid w:val="006059BE"/>
    <w:rsid w:val="00624C19"/>
    <w:rsid w:val="00662C61"/>
    <w:rsid w:val="006D46A7"/>
    <w:rsid w:val="00737A98"/>
    <w:rsid w:val="00757F9C"/>
    <w:rsid w:val="007D0210"/>
    <w:rsid w:val="009319C6"/>
    <w:rsid w:val="00942FBC"/>
    <w:rsid w:val="009434CA"/>
    <w:rsid w:val="009B28D4"/>
    <w:rsid w:val="009F10D1"/>
    <w:rsid w:val="00A03ADD"/>
    <w:rsid w:val="00A5666D"/>
    <w:rsid w:val="00AB389A"/>
    <w:rsid w:val="00AC5E16"/>
    <w:rsid w:val="00AD4FD7"/>
    <w:rsid w:val="00B262B7"/>
    <w:rsid w:val="00BD568E"/>
    <w:rsid w:val="00C11153"/>
    <w:rsid w:val="00C17663"/>
    <w:rsid w:val="00C43D92"/>
    <w:rsid w:val="00C51411"/>
    <w:rsid w:val="00D12626"/>
    <w:rsid w:val="00D26083"/>
    <w:rsid w:val="00D54B88"/>
    <w:rsid w:val="00D9684C"/>
    <w:rsid w:val="00DC5D95"/>
    <w:rsid w:val="00E167E2"/>
    <w:rsid w:val="00E842D6"/>
    <w:rsid w:val="00E96E57"/>
    <w:rsid w:val="00F81F37"/>
    <w:rsid w:val="00FB05B7"/>
    <w:rsid w:val="00FF3226"/>
    <w:rsid w:val="00FF79B7"/>
    <w:rsid w:val="01422176"/>
    <w:rsid w:val="094A7704"/>
    <w:rsid w:val="104D7C93"/>
    <w:rsid w:val="179901BE"/>
    <w:rsid w:val="1A7219B3"/>
    <w:rsid w:val="1D097B94"/>
    <w:rsid w:val="1ECA42FF"/>
    <w:rsid w:val="1EE33078"/>
    <w:rsid w:val="2460453E"/>
    <w:rsid w:val="2BDD0222"/>
    <w:rsid w:val="2F653805"/>
    <w:rsid w:val="30224D9D"/>
    <w:rsid w:val="33F46A50"/>
    <w:rsid w:val="36C95822"/>
    <w:rsid w:val="37C83096"/>
    <w:rsid w:val="37DF17C6"/>
    <w:rsid w:val="38E86458"/>
    <w:rsid w:val="399B4880"/>
    <w:rsid w:val="3A865F28"/>
    <w:rsid w:val="3B131EB2"/>
    <w:rsid w:val="3DF5764D"/>
    <w:rsid w:val="3E2C1978"/>
    <w:rsid w:val="40C913D4"/>
    <w:rsid w:val="44A82E11"/>
    <w:rsid w:val="479233E9"/>
    <w:rsid w:val="47CB6A06"/>
    <w:rsid w:val="4C1C493F"/>
    <w:rsid w:val="53195185"/>
    <w:rsid w:val="54342F31"/>
    <w:rsid w:val="54E85221"/>
    <w:rsid w:val="55DD2B8F"/>
    <w:rsid w:val="57216425"/>
    <w:rsid w:val="5C14118E"/>
    <w:rsid w:val="5E023994"/>
    <w:rsid w:val="5EAB4D8B"/>
    <w:rsid w:val="5EF37781"/>
    <w:rsid w:val="612C0D28"/>
    <w:rsid w:val="61300818"/>
    <w:rsid w:val="632919C3"/>
    <w:rsid w:val="637A3B3A"/>
    <w:rsid w:val="640B74F6"/>
    <w:rsid w:val="64DD5C7F"/>
    <w:rsid w:val="673E6DD5"/>
    <w:rsid w:val="697E45A9"/>
    <w:rsid w:val="69E77884"/>
    <w:rsid w:val="6D331525"/>
    <w:rsid w:val="6DBD2EFD"/>
    <w:rsid w:val="6ECD55A7"/>
    <w:rsid w:val="6F6366F1"/>
    <w:rsid w:val="79100B39"/>
    <w:rsid w:val="7AF14AEA"/>
    <w:rsid w:val="7B0C7516"/>
    <w:rsid w:val="7B6F42FA"/>
    <w:rsid w:val="7DA4673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iPriority="99" w:name="header"/>
    <w:lsdException w:qFormat="1" w:uiPriority="99"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200" w:firstLineChars="200"/>
      <w:jc w:val="both"/>
    </w:pPr>
    <w:rPr>
      <w:rFonts w:asciiTheme="minorHAnsi" w:hAnsiTheme="minorHAnsi" w:eastAsiaTheme="minorEastAsia" w:cstheme="minorBidi"/>
      <w:kern w:val="2"/>
      <w:sz w:val="21"/>
      <w:szCs w:val="22"/>
      <w:lang w:val="en-US" w:eastAsia="zh-CN" w:bidi="ar-SA"/>
    </w:rPr>
  </w:style>
  <w:style w:type="paragraph" w:styleId="3">
    <w:name w:val="heading 3"/>
    <w:basedOn w:val="1"/>
    <w:next w:val="1"/>
    <w:link w:val="14"/>
    <w:qFormat/>
    <w:uiPriority w:val="0"/>
    <w:pPr>
      <w:keepNext/>
      <w:spacing w:line="460" w:lineRule="exact"/>
      <w:ind w:firstLine="0" w:firstLineChars="0"/>
      <w:outlineLvl w:val="2"/>
    </w:pPr>
    <w:rPr>
      <w:rFonts w:ascii="宋体" w:hAnsi="宋体" w:eastAsia="宋体" w:cs="Times New Roman"/>
      <w:b/>
      <w:bCs/>
      <w:kern w:val="0"/>
      <w:sz w:val="30"/>
      <w:szCs w:val="24"/>
    </w:rPr>
  </w:style>
  <w:style w:type="character" w:default="1" w:styleId="9">
    <w:name w:val="Default Paragraph Font"/>
    <w:semiHidden/>
    <w:unhideWhenUsed/>
    <w:qFormat/>
    <w:uiPriority w:val="1"/>
  </w:style>
  <w:style w:type="table" w:default="1" w:styleId="8">
    <w:name w:val="Normal Table"/>
    <w:semiHidden/>
    <w:unhideWhenUsed/>
    <w:qFormat/>
    <w:uiPriority w:val="99"/>
    <w:tblPr>
      <w:tblCellMar>
        <w:top w:w="0" w:type="dxa"/>
        <w:left w:w="108" w:type="dxa"/>
        <w:bottom w:w="0" w:type="dxa"/>
        <w:right w:w="108" w:type="dxa"/>
      </w:tblCellMar>
    </w:tblPr>
  </w:style>
  <w:style w:type="paragraph" w:styleId="2">
    <w:name w:val="Body Text"/>
    <w:basedOn w:val="1"/>
    <w:link w:val="12"/>
    <w:qFormat/>
    <w:uiPriority w:val="99"/>
    <w:pPr>
      <w:spacing w:line="240" w:lineRule="auto"/>
      <w:ind w:firstLine="0" w:firstLineChars="0"/>
    </w:pPr>
    <w:rPr>
      <w:rFonts w:ascii="Calibri" w:hAnsi="Calibri" w:eastAsia="宋体" w:cs="Times New Roman"/>
      <w:sz w:val="28"/>
      <w:szCs w:val="24"/>
    </w:rPr>
  </w:style>
  <w:style w:type="paragraph" w:styleId="4">
    <w:name w:val="Balloon Text"/>
    <w:basedOn w:val="1"/>
    <w:link w:val="13"/>
    <w:qFormat/>
    <w:uiPriority w:val="0"/>
    <w:pPr>
      <w:spacing w:line="240" w:lineRule="auto"/>
    </w:pPr>
    <w:rPr>
      <w:sz w:val="18"/>
      <w:szCs w:val="18"/>
    </w:rPr>
  </w:style>
  <w:style w:type="paragraph" w:styleId="5">
    <w:name w:val="footer"/>
    <w:basedOn w:val="1"/>
    <w:semiHidden/>
    <w:unhideWhenUsed/>
    <w:qFormat/>
    <w:uiPriority w:val="99"/>
    <w:pPr>
      <w:tabs>
        <w:tab w:val="center" w:pos="4153"/>
        <w:tab w:val="right" w:pos="8306"/>
      </w:tabs>
      <w:snapToGrid w:val="0"/>
      <w:spacing w:line="240" w:lineRule="auto"/>
      <w:jc w:val="left"/>
    </w:pPr>
    <w:rPr>
      <w:sz w:val="18"/>
      <w:szCs w:val="18"/>
    </w:rPr>
  </w:style>
  <w:style w:type="paragraph" w:styleId="6">
    <w:name w:val="header"/>
    <w:basedOn w:val="1"/>
    <w:semiHidden/>
    <w:unhideWhenUsed/>
    <w:qFormat/>
    <w:uiPriority w:val="99"/>
    <w:pPr>
      <w:pBdr>
        <w:bottom w:val="single" w:color="auto" w:sz="6" w:space="1"/>
      </w:pBdr>
      <w:tabs>
        <w:tab w:val="center" w:pos="4153"/>
        <w:tab w:val="right" w:pos="8306"/>
      </w:tabs>
      <w:snapToGrid w:val="0"/>
      <w:spacing w:line="240" w:lineRule="auto"/>
      <w:jc w:val="center"/>
    </w:pPr>
    <w:rPr>
      <w:sz w:val="18"/>
      <w:szCs w:val="18"/>
    </w:rPr>
  </w:style>
  <w:style w:type="paragraph" w:styleId="7">
    <w:name w:val="Normal (Web)"/>
    <w:basedOn w:val="1"/>
    <w:qFormat/>
    <w:uiPriority w:val="99"/>
    <w:pPr>
      <w:spacing w:before="100" w:beforeAutospacing="1" w:after="100" w:afterAutospacing="1"/>
      <w:jc w:val="left"/>
    </w:pPr>
    <w:rPr>
      <w:rFonts w:ascii="Calibri" w:hAnsi="Calibri" w:eastAsia="宋体" w:cs="Times New Roman"/>
      <w:kern w:val="0"/>
      <w:sz w:val="24"/>
      <w:szCs w:val="24"/>
    </w:rPr>
  </w:style>
  <w:style w:type="paragraph" w:customStyle="1" w:styleId="10">
    <w:name w:val="Default"/>
    <w:qFormat/>
    <w:uiPriority w:val="99"/>
    <w:pPr>
      <w:widowControl w:val="0"/>
      <w:autoSpaceDE w:val="0"/>
      <w:autoSpaceDN w:val="0"/>
      <w:adjustRightInd w:val="0"/>
    </w:pPr>
    <w:rPr>
      <w:rFonts w:ascii="宋体" w:hAnsi="Times New Roman" w:eastAsia="宋体" w:cs="Times New Roman"/>
      <w:color w:val="000000"/>
      <w:sz w:val="24"/>
      <w:szCs w:val="24"/>
      <w:lang w:val="en-US" w:eastAsia="zh-CN" w:bidi="ar-SA"/>
    </w:rPr>
  </w:style>
  <w:style w:type="paragraph" w:styleId="11">
    <w:name w:val="No Spacing"/>
    <w:qFormat/>
    <w:uiPriority w:val="1"/>
    <w:rPr>
      <w:rFonts w:ascii="Times New Roman" w:hAnsi="Times New Roman" w:eastAsia="宋体" w:cs="Times New Roman"/>
      <w:sz w:val="21"/>
      <w:lang w:val="en-US" w:eastAsia="zh-CN" w:bidi="ar-SA"/>
    </w:rPr>
  </w:style>
  <w:style w:type="character" w:customStyle="1" w:styleId="12">
    <w:name w:val="正文文本 Char"/>
    <w:basedOn w:val="9"/>
    <w:link w:val="2"/>
    <w:qFormat/>
    <w:uiPriority w:val="99"/>
    <w:rPr>
      <w:rFonts w:ascii="Calibri" w:hAnsi="Calibri"/>
      <w:kern w:val="2"/>
      <w:sz w:val="28"/>
      <w:szCs w:val="24"/>
    </w:rPr>
  </w:style>
  <w:style w:type="character" w:customStyle="1" w:styleId="13">
    <w:name w:val="批注框文本 Char"/>
    <w:basedOn w:val="9"/>
    <w:link w:val="4"/>
    <w:qFormat/>
    <w:uiPriority w:val="0"/>
    <w:rPr>
      <w:rFonts w:asciiTheme="minorHAnsi" w:hAnsiTheme="minorHAnsi" w:eastAsiaTheme="minorEastAsia" w:cstheme="minorBidi"/>
      <w:kern w:val="2"/>
      <w:sz w:val="18"/>
      <w:szCs w:val="18"/>
    </w:rPr>
  </w:style>
  <w:style w:type="character" w:customStyle="1" w:styleId="14">
    <w:name w:val="标题 3 Char"/>
    <w:basedOn w:val="9"/>
    <w:link w:val="3"/>
    <w:qFormat/>
    <w:uiPriority w:val="0"/>
    <w:rPr>
      <w:rFonts w:ascii="宋体" w:hAnsi="宋体"/>
      <w:b/>
      <w:bCs/>
      <w:sz w:val="30"/>
      <w:szCs w:val="24"/>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4" Type="http://schemas.openxmlformats.org/officeDocument/2006/relationships/fontTable" Target="fontTable.xml"/><Relationship Id="rId23" Type="http://schemas.openxmlformats.org/officeDocument/2006/relationships/image" Target="media/image12.png"/><Relationship Id="rId22" Type="http://schemas.openxmlformats.org/officeDocument/2006/relationships/image" Target="media/image11.png"/><Relationship Id="rId21" Type="http://schemas.openxmlformats.org/officeDocument/2006/relationships/image" Target="media/image10.png"/><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3.png"/><Relationship Id="rId13" Type="http://schemas.openxmlformats.org/officeDocument/2006/relationships/image" Target="media/image2.png"/><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4</Pages>
  <Words>1900</Words>
  <Characters>2144</Characters>
  <Lines>12</Lines>
  <Paragraphs>3</Paragraphs>
  <TotalTime>3</TotalTime>
  <ScaleCrop>false</ScaleCrop>
  <LinksUpToDate>false</LinksUpToDate>
  <CharactersWithSpaces>2156</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2025-03-12T03:24:00Z</dcterms:created>
  <dc:creator>绿博汇</dc:creator>
  <cp:lastModifiedBy>Yozu</cp:lastModifiedBy>
  <dcterms:modified xsi:type="dcterms:W3CDTF">2025-08-20T03:06:27Z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D6149BCFE519467B863CFA3739AE5F5E_13</vt:lpwstr>
  </property>
  <property fmtid="{D5CDD505-2E9C-101B-9397-08002B2CF9AE}" pid="4" name="KSOTemplateDocerSaveRecord">
    <vt:lpwstr>eyJoZGlkIjoiMmJiOGM2OWM5OGRiMjY5NzViZWM4YzcwYzllNjEzYzkiLCJ1c2VySWQiOiIyNDgwOTUyMDEifQ==</vt:lpwstr>
  </property>
</Properties>
</file>