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A0F110">
      <w:pPr>
        <w:spacing w:line="360" w:lineRule="auto"/>
        <w:jc w:val="center"/>
        <w:rPr>
          <w:rFonts w:hint="eastAsia" w:ascii="宋体" w:hAnsi="宋体" w:eastAsia="宋体" w:cs="宋体"/>
          <w:b/>
          <w:bCs/>
          <w:sz w:val="40"/>
          <w:szCs w:val="40"/>
          <w:lang w:eastAsia="zh-CN"/>
        </w:rPr>
      </w:pPr>
      <w:r>
        <w:rPr>
          <w:rFonts w:hint="eastAsia" w:ascii="宋体" w:hAnsi="宋体" w:eastAsia="宋体" w:cs="宋体"/>
          <w:b/>
          <w:bCs/>
          <w:sz w:val="40"/>
          <w:szCs w:val="40"/>
          <w:lang w:eastAsia="zh-CN"/>
        </w:rPr>
        <w:t>中山市第二人民医院</w:t>
      </w:r>
    </w:p>
    <w:p w14:paraId="2750CA0F">
      <w:pPr>
        <w:spacing w:line="360" w:lineRule="auto"/>
        <w:jc w:val="center"/>
        <w:rPr>
          <w:rFonts w:hint="eastAsia" w:ascii="宋体" w:hAnsi="宋体" w:eastAsia="宋体" w:cs="宋体"/>
          <w:b/>
          <w:bCs/>
          <w:sz w:val="40"/>
          <w:szCs w:val="40"/>
          <w:lang w:eastAsia="zh-CN"/>
        </w:rPr>
      </w:pPr>
      <w:r>
        <w:rPr>
          <w:rFonts w:hint="eastAsia" w:ascii="宋体" w:hAnsi="宋体" w:eastAsia="宋体" w:cs="宋体"/>
          <w:b/>
          <w:bCs/>
          <w:sz w:val="40"/>
          <w:szCs w:val="40"/>
          <w:lang w:eastAsia="zh-CN"/>
        </w:rPr>
        <w:t>202</w:t>
      </w:r>
      <w:r>
        <w:rPr>
          <w:rFonts w:hint="eastAsia" w:ascii="宋体" w:hAnsi="宋体" w:eastAsia="宋体" w:cs="宋体"/>
          <w:b/>
          <w:bCs/>
          <w:sz w:val="40"/>
          <w:szCs w:val="40"/>
          <w:lang w:val="en-US" w:eastAsia="zh-CN"/>
        </w:rPr>
        <w:t>6</w:t>
      </w:r>
      <w:r>
        <w:rPr>
          <w:rFonts w:hint="eastAsia" w:ascii="宋体" w:hAnsi="宋体" w:eastAsia="宋体" w:cs="宋体"/>
          <w:b/>
          <w:bCs/>
          <w:sz w:val="40"/>
          <w:szCs w:val="40"/>
          <w:lang w:eastAsia="zh-CN"/>
        </w:rPr>
        <w:t>年</w:t>
      </w:r>
      <w:r>
        <w:rPr>
          <w:rFonts w:hint="eastAsia" w:ascii="宋体" w:hAnsi="宋体" w:eastAsia="宋体" w:cs="宋体"/>
          <w:b/>
          <w:bCs/>
          <w:sz w:val="40"/>
          <w:szCs w:val="40"/>
          <w:lang w:val="en-US" w:eastAsia="zh-CN"/>
        </w:rPr>
        <w:t>-2028年</w:t>
      </w:r>
      <w:r>
        <w:rPr>
          <w:rFonts w:hint="eastAsia" w:ascii="宋体" w:hAnsi="宋体" w:eastAsia="宋体" w:cs="宋体"/>
          <w:b/>
          <w:bCs/>
          <w:sz w:val="40"/>
          <w:szCs w:val="40"/>
          <w:lang w:eastAsia="zh-CN"/>
        </w:rPr>
        <w:t>饭堂膳食供应服务项目需求书</w:t>
      </w:r>
    </w:p>
    <w:p w14:paraId="745354C2">
      <w:pPr>
        <w:widowControl w:val="0"/>
        <w:kinsoku/>
        <w:autoSpaceDE w:val="0"/>
        <w:autoSpaceDN w:val="0"/>
        <w:adjustRightInd w:val="0"/>
        <w:snapToGrid w:val="0"/>
        <w:spacing w:line="560" w:lineRule="exact"/>
        <w:ind w:firstLine="640" w:firstLineChars="200"/>
        <w:jc w:val="both"/>
        <w:textAlignment w:val="auto"/>
        <w:rPr>
          <w:rFonts w:hint="eastAsia" w:ascii="黑体" w:hAnsi="黑体" w:eastAsia="黑体" w:cs="黑体"/>
          <w:snapToGrid/>
          <w:kern w:val="2"/>
          <w:sz w:val="32"/>
          <w:szCs w:val="32"/>
          <w:lang w:val="en-US" w:eastAsia="zh-CN"/>
        </w:rPr>
      </w:pPr>
      <w:r>
        <w:rPr>
          <w:rFonts w:hint="eastAsia" w:ascii="黑体" w:hAnsi="黑体" w:eastAsia="黑体" w:cs="黑体"/>
          <w:snapToGrid/>
          <w:kern w:val="2"/>
          <w:sz w:val="32"/>
          <w:szCs w:val="32"/>
          <w:lang w:val="en-US" w:eastAsia="zh-CN"/>
        </w:rPr>
        <w:t>一、项目概况：</w:t>
      </w:r>
    </w:p>
    <w:p w14:paraId="7605CD97">
      <w:pPr>
        <w:widowControl w:val="0"/>
        <w:kinsoku/>
        <w:autoSpaceDE w:val="0"/>
        <w:autoSpaceDN w:val="0"/>
        <w:adjustRightInd w:val="0"/>
        <w:snapToGrid w:val="0"/>
        <w:spacing w:line="560" w:lineRule="exact"/>
        <w:ind w:firstLine="560" w:firstLineChars="200"/>
        <w:jc w:val="both"/>
        <w:textAlignment w:val="auto"/>
        <w:rPr>
          <w:rFonts w:hint="eastAsia" w:ascii="Times New Roman" w:hAnsi="Times New Roman" w:eastAsia="仿宋_GB2312" w:cs="Times New Roman"/>
          <w:snapToGrid/>
          <w:kern w:val="2"/>
          <w:sz w:val="28"/>
          <w:szCs w:val="28"/>
          <w:lang w:val="en-US" w:eastAsia="zh-CN"/>
        </w:rPr>
      </w:pPr>
      <w:r>
        <w:rPr>
          <w:rFonts w:hint="eastAsia" w:ascii="楷体_GB2312" w:hAnsi="楷体_GB2312" w:eastAsia="楷体_GB2312" w:cs="楷体_GB2312"/>
          <w:snapToGrid/>
          <w:kern w:val="2"/>
          <w:sz w:val="28"/>
          <w:szCs w:val="28"/>
          <w:lang w:val="en-US" w:eastAsia="zh-CN"/>
        </w:rPr>
        <w:t>1.项目名称：</w:t>
      </w:r>
      <w:r>
        <w:rPr>
          <w:rFonts w:hint="eastAsia" w:ascii="Times New Roman" w:hAnsi="Times New Roman" w:eastAsia="仿宋_GB2312" w:cs="Times New Roman"/>
          <w:snapToGrid/>
          <w:kern w:val="2"/>
          <w:sz w:val="28"/>
          <w:szCs w:val="28"/>
          <w:lang w:val="en-US" w:eastAsia="zh-CN"/>
        </w:rPr>
        <w:t>中山市第二人民医院2026年-2028年饭堂膳食供应服务项目</w:t>
      </w:r>
    </w:p>
    <w:p w14:paraId="5AA2E06B">
      <w:pPr>
        <w:widowControl w:val="0"/>
        <w:kinsoku/>
        <w:autoSpaceDE w:val="0"/>
        <w:autoSpaceDN w:val="0"/>
        <w:adjustRightInd w:val="0"/>
        <w:snapToGrid w:val="0"/>
        <w:spacing w:line="560" w:lineRule="exact"/>
        <w:ind w:firstLine="560" w:firstLineChars="200"/>
        <w:jc w:val="both"/>
        <w:textAlignment w:val="auto"/>
        <w:rPr>
          <w:rFonts w:hint="eastAsia" w:ascii="Times New Roman" w:hAnsi="Times New Roman" w:eastAsia="仿宋_GB2312" w:cs="Times New Roman"/>
          <w:snapToGrid/>
          <w:kern w:val="2"/>
          <w:sz w:val="28"/>
          <w:szCs w:val="28"/>
          <w:lang w:val="en-US" w:eastAsia="zh-CN"/>
        </w:rPr>
      </w:pPr>
      <w:r>
        <w:rPr>
          <w:rFonts w:hint="eastAsia" w:ascii="楷体_GB2312" w:hAnsi="楷体_GB2312" w:eastAsia="楷体_GB2312" w:cs="楷体_GB2312"/>
          <w:snapToGrid/>
          <w:kern w:val="2"/>
          <w:sz w:val="28"/>
          <w:szCs w:val="28"/>
          <w:lang w:val="en-US" w:eastAsia="zh-CN"/>
        </w:rPr>
        <w:t>2.服务地点：</w:t>
      </w:r>
      <w:r>
        <w:rPr>
          <w:rFonts w:hint="eastAsia" w:ascii="Times New Roman" w:hAnsi="Times New Roman" w:eastAsia="仿宋_GB2312" w:cs="Times New Roman"/>
          <w:snapToGrid/>
          <w:kern w:val="2"/>
          <w:sz w:val="28"/>
          <w:szCs w:val="28"/>
          <w:lang w:val="en-US" w:eastAsia="zh-CN"/>
        </w:rPr>
        <w:t>中山市第二人民医院本部及南区分院</w:t>
      </w:r>
    </w:p>
    <w:p w14:paraId="3EB18A99">
      <w:pPr>
        <w:widowControl w:val="0"/>
        <w:kinsoku/>
        <w:autoSpaceDE w:val="0"/>
        <w:autoSpaceDN w:val="0"/>
        <w:adjustRightInd w:val="0"/>
        <w:snapToGrid w:val="0"/>
        <w:spacing w:line="560" w:lineRule="exact"/>
        <w:ind w:firstLine="560" w:firstLineChars="200"/>
        <w:jc w:val="both"/>
        <w:textAlignment w:val="auto"/>
        <w:rPr>
          <w:rFonts w:hint="default" w:ascii="Times New Roman" w:hAnsi="Times New Roman" w:eastAsia="仿宋_GB2312" w:cs="Times New Roman"/>
          <w:snapToGrid/>
          <w:kern w:val="2"/>
          <w:sz w:val="28"/>
          <w:szCs w:val="28"/>
          <w:lang w:val="en-US" w:eastAsia="zh-CN"/>
        </w:rPr>
      </w:pPr>
      <w:r>
        <w:rPr>
          <w:rFonts w:hint="eastAsia" w:ascii="楷体_GB2312" w:hAnsi="楷体_GB2312" w:eastAsia="楷体_GB2312" w:cs="楷体_GB2312"/>
          <w:snapToGrid/>
          <w:kern w:val="2"/>
          <w:sz w:val="28"/>
          <w:szCs w:val="28"/>
          <w:lang w:val="en-US" w:eastAsia="zh-CN"/>
        </w:rPr>
        <w:t>3.服务期期限：</w:t>
      </w:r>
      <w:r>
        <w:rPr>
          <w:rFonts w:hint="eastAsia" w:ascii="Times New Roman" w:hAnsi="Times New Roman" w:eastAsia="仿宋_GB2312" w:cs="Times New Roman"/>
          <w:snapToGrid/>
          <w:kern w:val="2"/>
          <w:sz w:val="28"/>
          <w:szCs w:val="28"/>
          <w:lang w:val="en-US" w:eastAsia="zh-CN"/>
        </w:rPr>
        <w:t>2026年1月1日至2028年12月31日止，共36个月（含试用期3个月）。合同实行一年一签（即以1+1+1的形式执行）。如每年度考核均通过则以项目三年结算累计金额达到本项目预算金额上限或三年服务期限到期为止（以先到者为准），委托合同终止；如年度考核不通过，无法续签下一年合同的，按当年实际发生量进行据实结算或以招标文件或合同约定执行，委托合同提前终止。采购人视中标供应商履行合同情况及考核情况(第一次续签以合同执行前10个月考核情况为依据，第二次续签以合同执行前12个月考核情况为依据)续签下一年度合同。具体起止时间以合同约定为准。</w:t>
      </w:r>
    </w:p>
    <w:p w14:paraId="66DB94E5">
      <w:pPr>
        <w:widowControl w:val="0"/>
        <w:kinsoku/>
        <w:autoSpaceDE w:val="0"/>
        <w:autoSpaceDN w:val="0"/>
        <w:adjustRightInd w:val="0"/>
        <w:snapToGrid w:val="0"/>
        <w:spacing w:line="560" w:lineRule="exact"/>
        <w:ind w:firstLine="560" w:firstLineChars="200"/>
        <w:jc w:val="both"/>
        <w:textAlignment w:val="auto"/>
        <w:rPr>
          <w:rFonts w:hint="eastAsia" w:ascii="Times New Roman" w:hAnsi="Times New Roman" w:eastAsia="仿宋_GB2312" w:cs="Times New Roman"/>
          <w:b/>
          <w:bCs/>
          <w:snapToGrid/>
          <w:kern w:val="2"/>
          <w:sz w:val="28"/>
          <w:szCs w:val="28"/>
          <w:lang w:val="en-US" w:eastAsia="zh-CN"/>
        </w:rPr>
      </w:pPr>
      <w:r>
        <w:rPr>
          <w:rFonts w:hint="eastAsia" w:ascii="楷体_GB2312" w:hAnsi="楷体_GB2312" w:eastAsia="楷体_GB2312" w:cs="楷体_GB2312"/>
          <w:snapToGrid/>
          <w:kern w:val="2"/>
          <w:sz w:val="28"/>
          <w:szCs w:val="28"/>
          <w:lang w:val="en-US" w:eastAsia="zh-CN"/>
        </w:rPr>
        <w:t>4.预算金额：</w:t>
      </w:r>
      <w:r>
        <w:rPr>
          <w:rFonts w:hint="eastAsia" w:ascii="Times New Roman" w:hAnsi="Times New Roman" w:eastAsia="仿宋_GB2312" w:cs="Times New Roman"/>
          <w:snapToGrid/>
          <w:kern w:val="2"/>
          <w:sz w:val="28"/>
          <w:szCs w:val="28"/>
          <w:lang w:val="en-US" w:eastAsia="zh-CN"/>
        </w:rPr>
        <w:t>三年人民币360万元（包括餐费及饭堂服务费）。</w:t>
      </w:r>
      <w:r>
        <w:rPr>
          <w:rFonts w:hint="eastAsia" w:ascii="Times New Roman" w:hAnsi="Times New Roman" w:eastAsia="仿宋_GB2312" w:cs="Times New Roman"/>
          <w:b/>
          <w:bCs/>
          <w:snapToGrid/>
          <w:kern w:val="2"/>
          <w:sz w:val="28"/>
          <w:szCs w:val="28"/>
          <w:lang w:val="en-US" w:eastAsia="zh-CN"/>
        </w:rPr>
        <w:t>餐费仅含采购方承担的就餐补贴餐费部分，不含员工个人自费刷卡部分。</w:t>
      </w:r>
    </w:p>
    <w:p w14:paraId="2E84DC22">
      <w:pPr>
        <w:widowControl w:val="0"/>
        <w:kinsoku/>
        <w:autoSpaceDE w:val="0"/>
        <w:autoSpaceDN w:val="0"/>
        <w:adjustRightInd w:val="0"/>
        <w:snapToGrid w:val="0"/>
        <w:spacing w:line="560" w:lineRule="exact"/>
        <w:ind w:firstLine="560" w:firstLineChars="200"/>
        <w:jc w:val="both"/>
        <w:textAlignment w:val="auto"/>
        <w:rPr>
          <w:rFonts w:hint="eastAsia" w:ascii="Times New Roman" w:hAnsi="Times New Roman" w:eastAsia="仿宋_GB2312" w:cs="Times New Roman"/>
          <w:snapToGrid/>
          <w:color w:val="000000"/>
          <w:kern w:val="2"/>
          <w:sz w:val="28"/>
          <w:szCs w:val="28"/>
          <w:lang w:val="en-US" w:eastAsia="zh-CN" w:bidi="ar-SA"/>
        </w:rPr>
      </w:pPr>
      <w:r>
        <w:rPr>
          <w:rFonts w:hint="eastAsia" w:ascii="楷体_GB2312" w:hAnsi="楷体_GB2312" w:eastAsia="楷体_GB2312" w:cs="楷体_GB2312"/>
          <w:snapToGrid/>
          <w:color w:val="000000"/>
          <w:kern w:val="2"/>
          <w:sz w:val="28"/>
          <w:szCs w:val="28"/>
          <w:lang w:val="en-US" w:eastAsia="zh-CN" w:bidi="ar-SA"/>
        </w:rPr>
        <w:t>5.</w:t>
      </w:r>
      <w:r>
        <w:rPr>
          <w:rFonts w:hint="eastAsia" w:ascii="Times New Roman" w:hAnsi="Times New Roman" w:eastAsia="仿宋_GB2312" w:cs="Times New Roman"/>
          <w:snapToGrid/>
          <w:color w:val="000000"/>
          <w:kern w:val="2"/>
          <w:sz w:val="28"/>
          <w:szCs w:val="28"/>
          <w:lang w:val="en-US" w:eastAsia="zh-CN" w:bidi="ar-SA"/>
        </w:rPr>
        <w:t>本项目投标报价说明：</w:t>
      </w:r>
    </w:p>
    <w:p w14:paraId="74406F6B">
      <w:pPr>
        <w:widowControl w:val="0"/>
        <w:kinsoku/>
        <w:autoSpaceDE w:val="0"/>
        <w:autoSpaceDN w:val="0"/>
        <w:adjustRightInd w:val="0"/>
        <w:snapToGrid w:val="0"/>
        <w:spacing w:line="560" w:lineRule="exact"/>
        <w:ind w:firstLine="560" w:firstLineChars="200"/>
        <w:jc w:val="both"/>
        <w:textAlignment w:val="auto"/>
        <w:rPr>
          <w:rFonts w:hint="eastAsia" w:ascii="仿宋_GB2312" w:hAnsi="仿宋_GB2312" w:eastAsia="仿宋_GB2312" w:cs="仿宋_GB2312"/>
          <w:color w:val="auto"/>
          <w:sz w:val="24"/>
          <w:szCs w:val="24"/>
          <w:highlight w:val="none"/>
          <w:lang w:eastAsia="zh-CN"/>
        </w:rPr>
      </w:pPr>
      <w:r>
        <w:rPr>
          <w:rFonts w:hint="eastAsia" w:ascii="楷体_GB2312" w:hAnsi="楷体_GB2312" w:eastAsia="楷体_GB2312" w:cs="楷体_GB2312"/>
          <w:snapToGrid/>
          <w:color w:val="000000"/>
          <w:kern w:val="2"/>
          <w:sz w:val="28"/>
          <w:szCs w:val="28"/>
          <w:lang w:val="en-US" w:eastAsia="zh-CN" w:bidi="ar-SA"/>
        </w:rPr>
        <w:t>5.1.</w:t>
      </w:r>
      <w:r>
        <w:rPr>
          <w:rFonts w:hint="eastAsia" w:ascii="Times New Roman" w:hAnsi="Times New Roman" w:eastAsia="仿宋_GB2312" w:cs="Times New Roman"/>
          <w:snapToGrid/>
          <w:kern w:val="2"/>
          <w:sz w:val="28"/>
          <w:szCs w:val="28"/>
          <w:lang w:val="en-US" w:eastAsia="zh-CN"/>
        </w:rPr>
        <w:t>供餐标准及价格固定，供餐标准是该项目完成发生的所有含税费用的全包干单价(包括：提供服务的服务费及完成服务所须的服务外包人员工资、社保、人身意外伤害保险、残疾人就业保障金、福利、税金、劳动合同到期经济补偿金、服务管理费、税费等一切费用)。每月支付金额按供餐标准，根据实际消费数量，据实结算。</w:t>
      </w:r>
    </w:p>
    <w:p w14:paraId="7397A6FD">
      <w:pPr>
        <w:pStyle w:val="6"/>
        <w:spacing w:before="0" w:line="480" w:lineRule="exact"/>
        <w:ind w:left="228" w:right="430" w:firstLine="482"/>
        <w:rPr>
          <w:rFonts w:hint="default" w:ascii="Times New Roman" w:hAnsi="Times New Roman" w:eastAsia="仿宋_GB2312" w:cs="Times New Roman"/>
          <w:snapToGrid/>
          <w:color w:val="000000"/>
          <w:kern w:val="2"/>
          <w:sz w:val="28"/>
          <w:szCs w:val="28"/>
          <w:lang w:val="en-US" w:eastAsia="zh-CN" w:bidi="ar-SA"/>
        </w:rPr>
      </w:pPr>
      <w:r>
        <w:rPr>
          <w:rFonts w:hint="eastAsia" w:ascii="楷体_GB2312" w:hAnsi="楷体_GB2312" w:eastAsia="楷体_GB2312" w:cs="楷体_GB2312"/>
          <w:snapToGrid/>
          <w:color w:val="000000"/>
          <w:kern w:val="2"/>
          <w:sz w:val="28"/>
          <w:szCs w:val="28"/>
          <w:lang w:val="en-US" w:eastAsia="zh-CN" w:bidi="ar-SA"/>
        </w:rPr>
        <w:t>5.2.服务费报价：</w:t>
      </w:r>
      <w:r>
        <w:rPr>
          <w:rFonts w:hint="eastAsia" w:ascii="Times New Roman" w:hAnsi="Times New Roman" w:eastAsia="仿宋_GB2312" w:cs="Times New Roman"/>
          <w:snapToGrid/>
          <w:color w:val="000000"/>
          <w:kern w:val="2"/>
          <w:sz w:val="28"/>
          <w:szCs w:val="28"/>
          <w:lang w:val="en-US" w:eastAsia="zh-CN" w:bidi="ar-SA"/>
        </w:rPr>
        <w:t>饭堂服务费按月度报价。</w:t>
      </w:r>
    </w:p>
    <w:p w14:paraId="39329E14">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楷体_GB2312" w:hAnsi="楷体_GB2312" w:eastAsia="楷体_GB2312" w:cs="楷体_GB2312"/>
          <w:snapToGrid/>
          <w:color w:val="000000"/>
          <w:kern w:val="2"/>
          <w:sz w:val="28"/>
          <w:szCs w:val="28"/>
          <w:lang w:val="en-US" w:eastAsia="zh-CN" w:bidi="ar-SA"/>
        </w:rPr>
        <w:t>6.</w:t>
      </w:r>
      <w:r>
        <w:rPr>
          <w:rFonts w:hint="eastAsia" w:ascii="Times New Roman" w:hAnsi="Times New Roman" w:eastAsia="仿宋_GB2312" w:cs="Times New Roman"/>
          <w:snapToGrid/>
          <w:color w:val="000000"/>
          <w:kern w:val="2"/>
          <w:sz w:val="28"/>
          <w:szCs w:val="28"/>
          <w:lang w:val="en-US" w:eastAsia="zh-CN" w:bidi="ar-SA"/>
        </w:rPr>
        <w:t xml:space="preserve">本项目不接受联合体投标。中标人未经采购人批准，不得再以任何方式转包或分包，否则采购人有权自动终止合同。 </w:t>
      </w:r>
    </w:p>
    <w:p w14:paraId="65367D9E">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楷体_GB2312" w:hAnsi="楷体_GB2312" w:eastAsia="楷体_GB2312" w:cs="楷体_GB2312"/>
          <w:snapToGrid/>
          <w:color w:val="000000"/>
          <w:kern w:val="2"/>
          <w:sz w:val="28"/>
          <w:szCs w:val="28"/>
          <w:lang w:val="en-US" w:eastAsia="zh-CN" w:bidi="ar-SA"/>
        </w:rPr>
        <w:t>7.</w:t>
      </w:r>
      <w:r>
        <w:rPr>
          <w:rFonts w:hint="eastAsia" w:ascii="Times New Roman" w:hAnsi="Times New Roman" w:eastAsia="仿宋_GB2312" w:cs="Times New Roman"/>
          <w:snapToGrid/>
          <w:color w:val="000000"/>
          <w:kern w:val="2"/>
          <w:sz w:val="28"/>
          <w:szCs w:val="28"/>
          <w:lang w:val="en-US" w:eastAsia="zh-CN" w:bidi="ar-SA"/>
        </w:rPr>
        <w:t>本项目需求书中凡标有“★”的地方均被视为重要的指标要求。供应商要特别加以注意，必须对此具体、明确响应并完全满足这些要求。否则若有一项带“★”的指标未响应或不满足，将视为非实质性响应磋商文件要求。</w:t>
      </w:r>
    </w:p>
    <w:p w14:paraId="56957214">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楷体_GB2312" w:hAnsi="楷体_GB2312" w:eastAsia="楷体_GB2312" w:cs="楷体_GB2312"/>
          <w:snapToGrid/>
          <w:color w:val="000000"/>
          <w:kern w:val="2"/>
          <w:sz w:val="28"/>
          <w:szCs w:val="28"/>
          <w:lang w:val="en-US" w:eastAsia="zh-CN" w:bidi="ar-SA"/>
        </w:rPr>
        <w:t>8.</w:t>
      </w:r>
      <w:r>
        <w:rPr>
          <w:rFonts w:hint="eastAsia" w:ascii="Times New Roman" w:hAnsi="Times New Roman" w:eastAsia="仿宋_GB2312" w:cs="Times New Roman"/>
          <w:snapToGrid/>
          <w:color w:val="000000"/>
          <w:kern w:val="2"/>
          <w:sz w:val="28"/>
          <w:szCs w:val="28"/>
          <w:lang w:val="en-US" w:eastAsia="zh-CN" w:bidi="ar-SA"/>
        </w:rPr>
        <w:t>投标人在投标文件中承诺的内容将作为以后（中标后）签订政府采购合同的内容，包括★条款与一般条款的响应情况，投标人在履行合同过程中必须严格执行，在履行合同过程中无法满足★条款的相关要求将按中标人违约处理（采购人有权扣除较重的违约金甚至解除合同），在履行合同过程中无法满足一般条款的相关要求将按中标人违约处理（采购人有权扣除一定的违约金甚至解除合同）。</w:t>
      </w:r>
    </w:p>
    <w:p w14:paraId="1A268874">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楷体_GB2312" w:hAnsi="楷体_GB2312" w:eastAsia="楷体_GB2312" w:cs="楷体_GB2312"/>
          <w:snapToGrid/>
          <w:color w:val="000000"/>
          <w:kern w:val="2"/>
          <w:sz w:val="28"/>
          <w:szCs w:val="28"/>
          <w:lang w:val="en-US" w:eastAsia="zh-CN" w:bidi="ar-SA"/>
        </w:rPr>
        <w:t>9.</w:t>
      </w:r>
      <w:r>
        <w:rPr>
          <w:rFonts w:hint="eastAsia" w:ascii="Times New Roman" w:hAnsi="Times New Roman" w:eastAsia="仿宋_GB2312" w:cs="Times New Roman"/>
          <w:snapToGrid/>
          <w:color w:val="000000"/>
          <w:kern w:val="2"/>
          <w:sz w:val="28"/>
          <w:szCs w:val="28"/>
          <w:lang w:val="en-US" w:eastAsia="zh-CN" w:bidi="ar-SA"/>
        </w:rPr>
        <w:t>本项目不统一组织现场踏勘。</w:t>
      </w:r>
    </w:p>
    <w:p w14:paraId="17C688F3">
      <w:pPr>
        <w:widowControl w:val="0"/>
        <w:kinsoku/>
        <w:autoSpaceDE w:val="0"/>
        <w:autoSpaceDN w:val="0"/>
        <w:adjustRightInd w:val="0"/>
        <w:snapToGrid w:val="0"/>
        <w:spacing w:line="560" w:lineRule="exact"/>
        <w:ind w:firstLine="640" w:firstLineChars="200"/>
        <w:jc w:val="both"/>
        <w:textAlignment w:val="auto"/>
        <w:rPr>
          <w:rFonts w:hint="eastAsia" w:ascii="黑体" w:hAnsi="黑体" w:eastAsia="黑体" w:cs="黑体"/>
          <w:snapToGrid/>
          <w:kern w:val="2"/>
          <w:sz w:val="32"/>
          <w:szCs w:val="32"/>
          <w:lang w:val="en-US" w:eastAsia="zh-CN"/>
        </w:rPr>
      </w:pPr>
      <w:r>
        <w:rPr>
          <w:rFonts w:hint="eastAsia" w:ascii="黑体" w:hAnsi="黑体" w:eastAsia="黑体" w:cs="黑体"/>
          <w:snapToGrid/>
          <w:kern w:val="2"/>
          <w:sz w:val="32"/>
          <w:szCs w:val="32"/>
          <w:lang w:val="en-US" w:eastAsia="zh-CN"/>
        </w:rPr>
        <w:t>二、服务范围及总体要求</w:t>
      </w:r>
    </w:p>
    <w:p w14:paraId="72AE4DFC">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楷体_GB2312" w:hAnsi="楷体_GB2312" w:eastAsia="楷体_GB2312" w:cs="楷体_GB2312"/>
          <w:snapToGrid/>
          <w:color w:val="000000"/>
          <w:kern w:val="2"/>
          <w:sz w:val="28"/>
          <w:szCs w:val="28"/>
          <w:lang w:val="en-US" w:eastAsia="zh-CN" w:bidi="ar-SA"/>
        </w:rPr>
        <w:t>1.项目背景概述：</w:t>
      </w:r>
      <w:r>
        <w:rPr>
          <w:rFonts w:hint="eastAsia" w:ascii="Times New Roman" w:hAnsi="Times New Roman" w:eastAsia="仿宋_GB2312" w:cs="Times New Roman"/>
          <w:snapToGrid/>
          <w:color w:val="000000"/>
          <w:kern w:val="2"/>
          <w:sz w:val="28"/>
          <w:szCs w:val="28"/>
          <w:lang w:val="en-US" w:eastAsia="zh-CN" w:bidi="ar-SA"/>
        </w:rPr>
        <w:t>中山市第二人民医院成立于2008年6月，是中山市为应对突发公共卫生事件和传染病防治任务，按照三级医院标准设立的一家市属综合性医院，2021年12月医疗机构类别变更为三级传染病医院。医院内设中山市皮肤病防治所、中山市结核病防治所及一所分院（南区分院），总院占地面积：81333m²，总建筑面积：57721.4m²，核定床位514张，其中含南区分院186张。医院本部位于广东省中山市港口镇木河迳东路28号，南区分院位于中山市南区茶亭路33号。</w:t>
      </w:r>
    </w:p>
    <w:p w14:paraId="5EACCE06">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楷体_GB2312" w:hAnsi="楷体_GB2312" w:eastAsia="楷体_GB2312" w:cs="楷体_GB2312"/>
          <w:snapToGrid/>
          <w:color w:val="000000"/>
          <w:kern w:val="2"/>
          <w:sz w:val="28"/>
          <w:szCs w:val="28"/>
          <w:lang w:val="en-US" w:eastAsia="zh-CN" w:bidi="ar-SA"/>
        </w:rPr>
        <w:t>2.</w:t>
      </w:r>
      <w:r>
        <w:rPr>
          <w:rFonts w:hint="eastAsia" w:ascii="Times New Roman" w:hAnsi="Times New Roman" w:eastAsia="仿宋_GB2312" w:cs="Times New Roman"/>
          <w:snapToGrid/>
          <w:color w:val="000000"/>
          <w:kern w:val="2"/>
          <w:sz w:val="28"/>
          <w:szCs w:val="28"/>
          <w:lang w:val="en-US" w:eastAsia="zh-CN" w:bidi="ar-SA"/>
        </w:rPr>
        <w:t>本项目饭堂位于医院本部（总院），南区分院不设独立饭堂加工，由总院饭堂配置专车配送。</w:t>
      </w:r>
    </w:p>
    <w:p w14:paraId="0E819D58">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w:t>
      </w:r>
      <w:r>
        <w:rPr>
          <w:rFonts w:hint="eastAsia" w:ascii="楷体_GB2312" w:hAnsi="楷体_GB2312" w:eastAsia="楷体_GB2312" w:cs="楷体_GB2312"/>
          <w:snapToGrid/>
          <w:color w:val="000000"/>
          <w:kern w:val="2"/>
          <w:sz w:val="28"/>
          <w:szCs w:val="28"/>
          <w:lang w:val="en-US" w:eastAsia="zh-CN" w:bidi="ar-SA"/>
        </w:rPr>
        <w:t>3.试用期说明：</w:t>
      </w:r>
      <w:r>
        <w:rPr>
          <w:rFonts w:hint="eastAsia" w:ascii="Times New Roman" w:hAnsi="Times New Roman" w:eastAsia="仿宋_GB2312" w:cs="Times New Roman"/>
          <w:snapToGrid/>
          <w:color w:val="000000"/>
          <w:kern w:val="2"/>
          <w:sz w:val="28"/>
          <w:szCs w:val="28"/>
          <w:lang w:val="en-US" w:eastAsia="zh-CN" w:bidi="ar-SA"/>
        </w:rPr>
        <w:t>试用期为3个月。试用期结束后，采购人对中标人的履约情况进行评估，试用期内的月度考核连续两个月考核得分为90分及以上，视为通过评估并继续执行后面合同；试用期内月度考核连续两个月考核得分为90分以下，视为不达标，则采购人有权提前终止合同，由此造成的一切损失由中标人自行承担。中标人如考核未通过，需无条件配合采购人继续提供膳食服务直至新的中标人成功进场并完成交接工作为止。</w:t>
      </w:r>
    </w:p>
    <w:p w14:paraId="7C7239A6">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4.每月提供完整的月度膳食服务方案；方案提交时间是当月最后一周提交下月月度膳食服务方案给医院管理科室审核并严格按服务方案执行。膳食服务方案需兼顾膳食安全、荤素搭配、营养均衡、时令性等。</w:t>
      </w:r>
    </w:p>
    <w:p w14:paraId="0C8858F2">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5.中标人负责招标文件对中标人要求的一切事宜及责任，自负盈亏，采购人不再支付任何费用补贴。</w:t>
      </w:r>
    </w:p>
    <w:p w14:paraId="60103FFB">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6.中标人负责承担员工职业安全防护用品费用（如手套、口罩、防水围裙、袖套、水鞋、厨师帽等，特殊防护用品（如防护服）除外）、员工工作服费用、员工在职体检费用以及所有员工使用布类的洗涤（需符合院感要求）费用。</w:t>
      </w:r>
      <w:bookmarkStart w:id="0" w:name="_GoBack"/>
      <w:bookmarkEnd w:id="0"/>
    </w:p>
    <w:p w14:paraId="4391F8FC">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7.</w:t>
      </w:r>
      <w:r>
        <w:rPr>
          <w:rFonts w:hint="eastAsia" w:ascii="楷体_GB2312" w:hAnsi="楷体_GB2312" w:eastAsia="楷体_GB2312" w:cs="楷体_GB2312"/>
          <w:snapToGrid/>
          <w:color w:val="000000"/>
          <w:kern w:val="2"/>
          <w:sz w:val="28"/>
          <w:szCs w:val="28"/>
          <w:lang w:val="en-US" w:eastAsia="zh-CN" w:bidi="ar-SA"/>
        </w:rPr>
        <w:t>服务人员人身安全责任：</w:t>
      </w:r>
      <w:r>
        <w:rPr>
          <w:rFonts w:hint="eastAsia" w:ascii="Times New Roman" w:hAnsi="Times New Roman" w:eastAsia="仿宋_GB2312" w:cs="Times New Roman"/>
          <w:snapToGrid/>
          <w:color w:val="000000"/>
          <w:kern w:val="2"/>
          <w:sz w:val="28"/>
          <w:szCs w:val="28"/>
          <w:lang w:val="en-US" w:eastAsia="zh-CN" w:bidi="ar-SA"/>
        </w:rPr>
        <w:t>中标人派驻的服务人员应遵守安全操作规章制度，若发生人身伤害等工伤事故，因中标人（或其服务人员个人）过失而造成的损失（如财产损失、人员伤亡等），由中标人依法承担相应责任。</w:t>
      </w:r>
    </w:p>
    <w:p w14:paraId="025AD1E9">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8.</w:t>
      </w:r>
      <w:r>
        <w:rPr>
          <w:rFonts w:hint="eastAsia" w:ascii="楷体_GB2312" w:hAnsi="楷体_GB2312" w:eastAsia="楷体_GB2312" w:cs="楷体_GB2312"/>
          <w:snapToGrid/>
          <w:color w:val="000000"/>
          <w:kern w:val="2"/>
          <w:sz w:val="28"/>
          <w:szCs w:val="28"/>
          <w:lang w:val="en-US" w:eastAsia="zh-CN" w:bidi="ar-SA"/>
        </w:rPr>
        <w:t>制订规则制度：</w:t>
      </w:r>
      <w:r>
        <w:rPr>
          <w:rFonts w:hint="eastAsia" w:ascii="Times New Roman" w:hAnsi="Times New Roman" w:eastAsia="仿宋_GB2312" w:cs="Times New Roman"/>
          <w:snapToGrid/>
          <w:color w:val="000000"/>
          <w:kern w:val="2"/>
          <w:sz w:val="28"/>
          <w:szCs w:val="28"/>
          <w:lang w:val="en-US" w:eastAsia="zh-CN" w:bidi="ar-SA"/>
        </w:rPr>
        <w:t>中标人须在合同实施后两个月内，结合医院实际，建立及落实各类服务人员的服务规范标准、工作流程、应急预案、规章制度及各类人员岗位职责，交采购人审核及备案保存，并在中标人办公区域上墙。</w:t>
      </w:r>
    </w:p>
    <w:p w14:paraId="1E769FE6">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9.</w:t>
      </w:r>
      <w:r>
        <w:rPr>
          <w:rFonts w:hint="eastAsia" w:ascii="楷体_GB2312" w:hAnsi="楷体_GB2312" w:eastAsia="楷体_GB2312" w:cs="楷体_GB2312"/>
          <w:snapToGrid/>
          <w:color w:val="000000"/>
          <w:kern w:val="2"/>
          <w:sz w:val="28"/>
          <w:szCs w:val="28"/>
          <w:lang w:val="en-US" w:eastAsia="zh-CN" w:bidi="ar-SA"/>
        </w:rPr>
        <w:t>保密规定：</w:t>
      </w:r>
      <w:r>
        <w:rPr>
          <w:rFonts w:hint="eastAsia" w:ascii="Times New Roman" w:hAnsi="Times New Roman" w:eastAsia="仿宋_GB2312" w:cs="Times New Roman"/>
          <w:snapToGrid/>
          <w:color w:val="000000"/>
          <w:kern w:val="2"/>
          <w:sz w:val="28"/>
          <w:szCs w:val="28"/>
          <w:lang w:val="en-US" w:eastAsia="zh-CN" w:bidi="ar-SA"/>
        </w:rPr>
        <w:t>投标人应当对涉及采购人的信息严格保密，未经采购人许可，不得将信息泄露给第三方；其中涉及采购人商业秘密资料的须严格保密，不得自己使用或泄露给第三方。否则，采购人保留追究投标人法律责任的权利。</w:t>
      </w:r>
    </w:p>
    <w:p w14:paraId="126A8AA8">
      <w:pPr>
        <w:pStyle w:val="6"/>
        <w:spacing w:before="0" w:line="480" w:lineRule="exact"/>
        <w:ind w:left="228" w:right="430" w:firstLine="482"/>
        <w:rPr>
          <w:rFonts w:hint="default"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10.根据采购人的节约能源相关要求开展相关服务工作，养成节约用水用电的良好习惯。厨房及便民服务点安装独立水表、电表，中标人每月按照实际产生的水费、电费向医院支付。中标人应当在采购人规定的时间内支付上述费用，该费用不在采购人应付的合同费用中抵扣。</w:t>
      </w:r>
    </w:p>
    <w:p w14:paraId="6B7FCF25">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11.中标人需配置专用的送餐车辆，送餐车辆需干净卫生，且配备空调系统在送餐过程中，送餐车辆严禁装载与配餐食品无关的其他食物或物品。</w:t>
      </w:r>
    </w:p>
    <w:p w14:paraId="0131D226">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12.中标人领取中标通知书后30个日历日内要与采购人签订合同，签订合同后5个日历日内需进入工作区开展工作。</w:t>
      </w:r>
    </w:p>
    <w:p w14:paraId="6B8665FB">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13.中标人负责采购一切食物原料、配料，承包饭堂内务，按时完成采购人早、中、晚餐（全天膳食）的开膳工作。 中标人所有员工归属中标人，在经营过程中与外界发生的一切债权、债务等纠纷均与采购人无关。</w:t>
      </w:r>
    </w:p>
    <w:p w14:paraId="0897BCAB">
      <w:pPr>
        <w:pStyle w:val="6"/>
        <w:spacing w:before="0" w:line="480" w:lineRule="exact"/>
        <w:ind w:left="228" w:right="430" w:firstLine="482"/>
        <w:rPr>
          <w:rFonts w:hint="default"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 xml:space="preserve">★14.采购人免费提供现有的饭堂工作场地，饭堂内现有厨具、冷柜、消毒柜、空调等设备设施经盘点后并开列清单免费提供给中标人使用，中标人要合理使用，妥善保管，承包合同终止时如数退还采购人，如有人为损坏或丢失则由中标人照价赔偿。 </w:t>
      </w:r>
    </w:p>
    <w:p w14:paraId="2A4273FF">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15.中标人负责对采购人所提供的所有设备、设施、厨具、餐具进行常规维护保养，包括排灶具、油烟机、烟道、排气设备等的油渍进行定期清洗，至少每季度请专业人员清洗一次，费用由中标人承担，确保其安全合理使用。合同服务期限到期或服务结束后，中标人应将采购人提供的场地、设施、设备、工具等全部还清采购人，做好交接工作。</w:t>
      </w:r>
    </w:p>
    <w:p w14:paraId="34D2B474">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16.中标人按照医院提供的设备和电器设备运作，未经医院同意不得私自增加。确因烹饪制作或供、就餐需要，在经营过程中需增添置换设备，中标人提供建议方案，经医院评估同意后购置。</w:t>
      </w:r>
    </w:p>
    <w:p w14:paraId="52DFC28B">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17.中标人负责对其所使用场地做好清洁卫生：包括厨房、仓库、配餐间、餐厅桌椅、地面等，保持墙壁、墙裙、天花板、地面整洁，疏通下水道，垃圾桶须加盖并保持桶身的清洁，加强灭蝇、灭蟑螂、灭鼠等措施。应采取措施减少食堂对环境的污染，使噪音、油烟尾气、污水排放达标，对油渣、菜渣等堵塞的下水道负责清淤，并自行承担相关清淤工作及费用。</w:t>
      </w:r>
    </w:p>
    <w:p w14:paraId="232348FE">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18.中标人必须按照中山市垃圾分类办法执行垃圾分类，餐厨废弃物应存放于标识清楚、密闭的容器中，并日产日清。采购人有权要求其在指定时间和范围内将水及废料运出，饭堂其他生活垃圾须运至采购人指定的垃圾堆放地，以保障厨房、餐厅整体环境卫生。餐厨废弃物应交由经相关部门许可或备案的餐厨废弃物收运单位或个人处理，建立餐厨废弃物处置台账。</w:t>
      </w:r>
    </w:p>
    <w:p w14:paraId="61065B86">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19.中标人需与采购人签订安全生产责任书；中标人为本项目的安全生产第一责任人，中标人需做好全员消防安全培训后才能上岗，做好用电安全每日排查工作；配备紧急火情下的灭火器材（灭火毯由中标方负责配备，按一个灶台一张配备）。中标人须做好饭堂的消防安全工作，不得出现任何人为的消防安全事故隐患，并定期接受采购人及相关机构的监督检查。饭堂内的消防安全及工具、电源（炉灶、各种炊事设备）操作事故责任均由中标人承担。加强员工的消防安全意识，严禁使用消防用水进行清洗，严防因操作不当而引起的火灾、爆炸事故。如造成经济损失或重大影响的，一票否决，合同终止。中标人应赔偿采购人的一切损失，并承担一切后果和责任。</w:t>
      </w:r>
    </w:p>
    <w:p w14:paraId="125BDAF8">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20.中标人需有完善的食物中毒应急处理预案和流程，事件产生的食材送检的费用、医疗费用等由中标人负责。采购人有权对中标人的食品卫生、餐具卫生、食品存储安全、进货渠道、综合治理、监督等。</w:t>
      </w:r>
    </w:p>
    <w:p w14:paraId="123218F1">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21.中标人要确保食物卫生、安全，严防发生集体食物中毒重大事故。如发生食物中毒事故的（3人及以上同时发病，具有潜伏期短、发病突然，中毒的患者出现类似的症状如恶心、呕吐、腹痛、腹泻等，均与进食某种食物有明确的关系），并造成重大影响的，采购人有权终止合同，中标人应赔偿采购人及中毒个人的一切损失，并承担一切后果和责任。</w:t>
      </w:r>
    </w:p>
    <w:p w14:paraId="225F4D2F">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22.本饭堂为采购人内部饭堂，中标人不得以任何方式超过本项目规定的范围管理，否则采购人有权立即终止合同。</w:t>
      </w:r>
    </w:p>
    <w:p w14:paraId="6926300E">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23.中标人自行负责提供必要的办公设备及办公耗材，包括但不限电脑、打印机、复印机、办公耗材等。属于中标人的办公设备设施维护由中标人自行承担。</w:t>
      </w:r>
    </w:p>
    <w:p w14:paraId="623E6608">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24.采购人可以根据实际工作需要有针对性地对各服务项目进行专项检查，专项检查项目按单项及要求进行相应的扣罚。专项检查内容包括：岗位配置、满意度调查、年度服务达标率、应急处理、消防安保监控等专项检查。</w:t>
      </w:r>
    </w:p>
    <w:p w14:paraId="71459FF9">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25.中标人各服务项目应建立各类应急预案并组织演练，应急预案至少包括人员调配、响应时间、处理情况的协调性、遇到消防安全和自然灾害事故等的应急处理预案等，演练频次为每年组织不少于两次演练，有培训和演练记录，确保员工能熟练掌握各类突发事件的应急处理方法，应对措施得当。采购人定期检查培训和演练记录，抽问员工对各类突发事件处理方法。</w:t>
      </w:r>
    </w:p>
    <w:p w14:paraId="29612C4A">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★26.如遇疫情等突发事件</w:t>
      </w:r>
      <w:r>
        <w:rPr>
          <w:rFonts w:hint="eastAsia" w:ascii="Times New Roman" w:hAnsi="Times New Roman" w:eastAsia="仿宋_GB2312" w:cs="Times New Roman"/>
          <w:snapToGrid/>
          <w:color w:val="000000"/>
          <w:kern w:val="2"/>
          <w:sz w:val="28"/>
          <w:szCs w:val="28"/>
          <w:lang w:val="hr-HR" w:eastAsia="zh-CN" w:bidi="ar-SA"/>
        </w:rPr>
        <w:t>，</w:t>
      </w:r>
      <w:r>
        <w:rPr>
          <w:rFonts w:hint="eastAsia" w:ascii="Times New Roman" w:hAnsi="Times New Roman" w:eastAsia="仿宋_GB2312" w:cs="Times New Roman"/>
          <w:snapToGrid/>
          <w:color w:val="000000"/>
          <w:kern w:val="2"/>
          <w:sz w:val="28"/>
          <w:szCs w:val="28"/>
          <w:lang w:val="en-US" w:eastAsia="zh-CN" w:bidi="ar-SA"/>
        </w:rPr>
        <w:t>中标人</w:t>
      </w:r>
      <w:r>
        <w:rPr>
          <w:rFonts w:hint="eastAsia" w:ascii="Times New Roman" w:hAnsi="Times New Roman" w:eastAsia="仿宋_GB2312" w:cs="Times New Roman"/>
          <w:snapToGrid/>
          <w:color w:val="000000"/>
          <w:kern w:val="2"/>
          <w:sz w:val="28"/>
          <w:szCs w:val="28"/>
          <w:lang w:val="hr-HR" w:eastAsia="zh-CN" w:bidi="ar-SA"/>
        </w:rPr>
        <w:t>不得以任何借口和原因</w:t>
      </w:r>
      <w:r>
        <w:rPr>
          <w:rFonts w:hint="eastAsia" w:ascii="Times New Roman" w:hAnsi="Times New Roman" w:eastAsia="仿宋_GB2312" w:cs="Times New Roman"/>
          <w:snapToGrid/>
          <w:color w:val="000000"/>
          <w:kern w:val="2"/>
          <w:sz w:val="28"/>
          <w:szCs w:val="28"/>
          <w:lang w:val="en-US" w:eastAsia="zh-CN" w:bidi="ar-SA"/>
        </w:rPr>
        <w:t>拒绝或</w:t>
      </w:r>
      <w:r>
        <w:rPr>
          <w:rFonts w:hint="eastAsia" w:ascii="Times New Roman" w:hAnsi="Times New Roman" w:eastAsia="仿宋_GB2312" w:cs="Times New Roman"/>
          <w:snapToGrid/>
          <w:color w:val="000000"/>
          <w:kern w:val="2"/>
          <w:sz w:val="28"/>
          <w:szCs w:val="28"/>
          <w:lang w:val="hr-HR" w:eastAsia="zh-CN" w:bidi="ar-SA"/>
        </w:rPr>
        <w:t>延误</w:t>
      </w:r>
      <w:r>
        <w:rPr>
          <w:rFonts w:hint="eastAsia" w:ascii="Times New Roman" w:hAnsi="Times New Roman" w:eastAsia="仿宋_GB2312" w:cs="Times New Roman"/>
          <w:snapToGrid/>
          <w:color w:val="000000"/>
          <w:kern w:val="2"/>
          <w:sz w:val="28"/>
          <w:szCs w:val="28"/>
          <w:lang w:val="en-US" w:eastAsia="zh-CN" w:bidi="ar-SA"/>
        </w:rPr>
        <w:t>送餐</w:t>
      </w:r>
      <w:r>
        <w:rPr>
          <w:rFonts w:hint="eastAsia" w:ascii="Times New Roman" w:hAnsi="Times New Roman" w:eastAsia="仿宋_GB2312" w:cs="Times New Roman"/>
          <w:snapToGrid/>
          <w:color w:val="000000"/>
          <w:kern w:val="2"/>
          <w:sz w:val="28"/>
          <w:szCs w:val="28"/>
          <w:lang w:val="hr-HR" w:eastAsia="zh-CN" w:bidi="ar-SA"/>
        </w:rPr>
        <w:t>，影响</w:t>
      </w:r>
      <w:r>
        <w:rPr>
          <w:rFonts w:hint="eastAsia" w:ascii="Times New Roman" w:hAnsi="Times New Roman" w:eastAsia="仿宋_GB2312" w:cs="Times New Roman"/>
          <w:snapToGrid/>
          <w:color w:val="000000"/>
          <w:kern w:val="2"/>
          <w:sz w:val="28"/>
          <w:szCs w:val="28"/>
          <w:lang w:val="en-US" w:eastAsia="zh-CN" w:bidi="ar-SA"/>
        </w:rPr>
        <w:t>员工及患者就餐</w:t>
      </w:r>
      <w:r>
        <w:rPr>
          <w:rFonts w:hint="eastAsia" w:ascii="Times New Roman" w:hAnsi="Times New Roman" w:eastAsia="仿宋_GB2312" w:cs="Times New Roman"/>
          <w:snapToGrid/>
          <w:color w:val="000000"/>
          <w:kern w:val="2"/>
          <w:sz w:val="28"/>
          <w:szCs w:val="28"/>
          <w:lang w:val="hr-HR" w:eastAsia="zh-CN" w:bidi="ar-SA"/>
        </w:rPr>
        <w:t>。</w:t>
      </w:r>
      <w:r>
        <w:rPr>
          <w:rFonts w:hint="eastAsia" w:ascii="Times New Roman" w:hAnsi="Times New Roman" w:eastAsia="仿宋_GB2312" w:cs="Times New Roman"/>
          <w:snapToGrid/>
          <w:color w:val="000000"/>
          <w:kern w:val="2"/>
          <w:sz w:val="28"/>
          <w:szCs w:val="28"/>
          <w:lang w:val="en-US" w:eastAsia="zh-CN" w:bidi="ar-SA"/>
        </w:rPr>
        <w:t>中标人</w:t>
      </w:r>
      <w:r>
        <w:rPr>
          <w:rFonts w:hint="eastAsia" w:ascii="Times New Roman" w:hAnsi="Times New Roman" w:eastAsia="仿宋_GB2312" w:cs="Times New Roman"/>
          <w:snapToGrid/>
          <w:color w:val="000000"/>
          <w:kern w:val="2"/>
          <w:sz w:val="28"/>
          <w:szCs w:val="28"/>
          <w:lang w:val="hr-HR" w:eastAsia="zh-CN" w:bidi="ar-SA"/>
        </w:rPr>
        <w:t>应考虑到一切不可控因素影响，做好相应的应急预案工作，应具备相对充足的第三方应急协作单位和应急设置的配置，作为确保医院</w:t>
      </w:r>
      <w:r>
        <w:rPr>
          <w:rFonts w:hint="eastAsia" w:ascii="Times New Roman" w:hAnsi="Times New Roman" w:eastAsia="仿宋_GB2312" w:cs="Times New Roman"/>
          <w:snapToGrid/>
          <w:color w:val="000000"/>
          <w:kern w:val="2"/>
          <w:sz w:val="28"/>
          <w:szCs w:val="28"/>
          <w:lang w:val="en-US" w:eastAsia="zh-CN" w:bidi="ar-SA"/>
        </w:rPr>
        <w:t>膳食供应服</w:t>
      </w:r>
      <w:r>
        <w:rPr>
          <w:rFonts w:hint="eastAsia" w:ascii="Times New Roman" w:hAnsi="Times New Roman" w:eastAsia="仿宋_GB2312" w:cs="Times New Roman"/>
          <w:snapToGrid/>
          <w:color w:val="000000"/>
          <w:kern w:val="2"/>
          <w:sz w:val="28"/>
          <w:szCs w:val="28"/>
          <w:lang w:val="hr-HR" w:eastAsia="zh-CN" w:bidi="ar-SA"/>
        </w:rPr>
        <w:t>务的保障性措施。</w:t>
      </w:r>
    </w:p>
    <w:p w14:paraId="768D855D">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27.根据国家省市区的相关规定，中标人应积极配合采购人完成应急或政府采购脱贫农副产品政策的执行，采购人每年在一年预算金额中预留不低于本单位年度食堂食材采购总金额的30%的份额（遇各年度的预算金额需要调整的，以财政部门核准的预算金额为准），用于通过“脱贫地区农副产品网络销售平台”（即“832扶贫平台”）采购农副产品，具体采购产品类别、数量、预算及时间等由采购人与中标人协商决定。“832扶贫平台”采购农副产品，结算按照“832扶贫平台”上公示的价格进行据实结算。采购人对应急食品及政府扶贫农副产品采购有自主权，采购人有权直接采购，中标人应配合采购人做好食品或农副产品的运输、储藏和分配等工作。同时协助采购人在“脱贫地区农副产品网络销售平台（简称“832平台”）”进行登记操作及填报相关内容。如签订的合同内容与最新的政策要求有违背的，中标人应无条件服从并积极配合采购人。</w:t>
      </w:r>
    </w:p>
    <w:p w14:paraId="3059CBE8">
      <w:pPr>
        <w:widowControl w:val="0"/>
        <w:kinsoku/>
        <w:autoSpaceDE w:val="0"/>
        <w:autoSpaceDN w:val="0"/>
        <w:adjustRightInd w:val="0"/>
        <w:snapToGrid w:val="0"/>
        <w:spacing w:line="560" w:lineRule="exact"/>
        <w:ind w:firstLine="640" w:firstLineChars="200"/>
        <w:jc w:val="both"/>
        <w:textAlignment w:val="auto"/>
        <w:rPr>
          <w:rFonts w:hint="eastAsia" w:ascii="黑体" w:hAnsi="黑体" w:eastAsia="黑体" w:cs="黑体"/>
          <w:snapToGrid/>
          <w:kern w:val="2"/>
          <w:sz w:val="32"/>
          <w:szCs w:val="32"/>
          <w:lang w:val="en-US" w:eastAsia="zh-CN"/>
        </w:rPr>
      </w:pPr>
      <w:r>
        <w:rPr>
          <w:rFonts w:hint="eastAsia" w:ascii="黑体" w:hAnsi="黑体" w:eastAsia="黑体" w:cs="黑体"/>
          <w:snapToGrid/>
          <w:kern w:val="2"/>
          <w:sz w:val="32"/>
          <w:szCs w:val="32"/>
          <w:lang w:val="en-US" w:eastAsia="zh-CN"/>
        </w:rPr>
        <w:t>三、人员配置及要求</w:t>
      </w:r>
    </w:p>
    <w:p w14:paraId="17E0102A">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1.为满足采购人服务质量的要求，中标人派驻驻场服务工作人员不得少于9名，设立驻场项目负责人1名，专职送餐人员1名（负责南区分院餐配送）。根据实际服务的工作量以及医院实际需求情况，中标人应按照采购人要求随时增减驻场工作人员。若驻场工作人员变动，必须先向采购人说明情况，经采购人同意后方可执行。</w:t>
      </w:r>
    </w:p>
    <w:p w14:paraId="5468778C">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楷体_GB2312" w:cs="Times New Roman"/>
          <w:snapToGrid/>
          <w:color w:val="000000"/>
          <w:kern w:val="2"/>
          <w:sz w:val="28"/>
          <w:szCs w:val="28"/>
          <w:lang w:val="en-US" w:eastAsia="zh-CN" w:bidi="ar-SA"/>
        </w:rPr>
        <w:t>2.</w:t>
      </w:r>
      <w:r>
        <w:rPr>
          <w:rFonts w:hint="eastAsia" w:ascii="楷体_GB2312" w:hAnsi="楷体_GB2312" w:eastAsia="楷体_GB2312" w:cs="楷体_GB2312"/>
          <w:snapToGrid/>
          <w:color w:val="000000"/>
          <w:kern w:val="2"/>
          <w:sz w:val="28"/>
          <w:szCs w:val="28"/>
          <w:lang w:val="en-US" w:eastAsia="zh-CN" w:bidi="ar-SA"/>
        </w:rPr>
        <w:t>人员配备资质要求</w:t>
      </w:r>
    </w:p>
    <w:p w14:paraId="72253844">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楷体_GB2312" w:cs="Times New Roman"/>
          <w:snapToGrid/>
          <w:color w:val="000000"/>
          <w:kern w:val="2"/>
          <w:sz w:val="28"/>
          <w:szCs w:val="28"/>
          <w:lang w:val="en-US" w:eastAsia="zh-CN" w:bidi="ar-SA"/>
        </w:rPr>
        <w:t>2.1</w:t>
      </w:r>
      <w:r>
        <w:rPr>
          <w:rFonts w:hint="eastAsia" w:ascii="Times New Roman" w:hAnsi="Times New Roman" w:eastAsia="仿宋_GB2312" w:cs="Times New Roman"/>
          <w:snapToGrid/>
          <w:color w:val="000000"/>
          <w:kern w:val="2"/>
          <w:sz w:val="28"/>
          <w:szCs w:val="28"/>
          <w:lang w:val="en-US" w:eastAsia="zh-CN" w:bidi="ar-SA"/>
        </w:rPr>
        <w:t>中标人配备的服务人员至少需要1名服务人员持有广东省食品安全管理人员证，负责食品安全管理，1名公共营养师，中式烹饪师至少3人，面点师1人；所有人员须有效期内的广东省食品从业人员健康证明。</w:t>
      </w:r>
    </w:p>
    <w:p w14:paraId="670C8F50">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楷体_GB2312" w:cs="Times New Roman"/>
          <w:snapToGrid/>
          <w:color w:val="000000"/>
          <w:kern w:val="2"/>
          <w:sz w:val="28"/>
          <w:szCs w:val="28"/>
          <w:lang w:val="en-US" w:eastAsia="zh-CN" w:bidi="ar-SA"/>
        </w:rPr>
        <w:t>2.2</w:t>
      </w:r>
      <w:r>
        <w:rPr>
          <w:rFonts w:hint="eastAsia" w:ascii="Times New Roman" w:hAnsi="Times New Roman" w:eastAsia="仿宋_GB2312" w:cs="Times New Roman"/>
          <w:snapToGrid/>
          <w:color w:val="000000"/>
          <w:kern w:val="2"/>
          <w:sz w:val="28"/>
          <w:szCs w:val="28"/>
          <w:lang w:val="en-US" w:eastAsia="zh-CN" w:bidi="ar-SA"/>
        </w:rPr>
        <w:t xml:space="preserve">中标人需保证所有工作人员必须通过当地卫生防疫部门的体检，并领取饮食行业健康证，且将原件交采购人查验后才能上岗，复印件交采购人存档。员工保持良好个人卫生，生产经营食品时，应当将手洗净，穿戴清洁的工作衣、帽及口罩，配餐时戴手套操作；不得留长指甲、 佩戴饰物，手部有外伤的人员不得从事食品生产经营活动。 </w:t>
      </w:r>
    </w:p>
    <w:p w14:paraId="1C6ABA93">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default" w:ascii="Times New Roman" w:hAnsi="Times New Roman" w:eastAsia="楷体_GB2312" w:cs="Times New Roman"/>
          <w:snapToGrid/>
          <w:color w:val="000000"/>
          <w:kern w:val="2"/>
          <w:sz w:val="28"/>
          <w:szCs w:val="28"/>
          <w:lang w:val="en-US" w:eastAsia="zh-CN" w:bidi="ar-SA"/>
        </w:rPr>
        <w:t>3.</w:t>
      </w:r>
      <w:r>
        <w:rPr>
          <w:rFonts w:hint="eastAsia" w:ascii="Times New Roman" w:hAnsi="Times New Roman" w:eastAsia="仿宋_GB2312" w:cs="Times New Roman"/>
          <w:snapToGrid/>
          <w:color w:val="000000"/>
          <w:kern w:val="2"/>
          <w:sz w:val="28"/>
          <w:szCs w:val="28"/>
          <w:lang w:val="en-US" w:eastAsia="zh-CN" w:bidi="ar-SA"/>
        </w:rPr>
        <w:t>中标人工作人员要遵守采购人规章制度，若有违反则按采购人的有关规定处理。</w:t>
      </w:r>
    </w:p>
    <w:p w14:paraId="56A9926F">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4.</w:t>
      </w:r>
      <w:r>
        <w:rPr>
          <w:rFonts w:hint="eastAsia" w:ascii="楷体_GB2312" w:hAnsi="楷体_GB2312" w:eastAsia="楷体_GB2312" w:cs="楷体_GB2312"/>
          <w:snapToGrid/>
          <w:color w:val="000000"/>
          <w:kern w:val="2"/>
          <w:sz w:val="28"/>
          <w:szCs w:val="28"/>
          <w:lang w:val="en-US" w:eastAsia="zh-CN" w:bidi="ar-SA"/>
        </w:rPr>
        <w:t>服务人员要求：</w:t>
      </w:r>
      <w:r>
        <w:rPr>
          <w:rFonts w:hint="eastAsia" w:ascii="Times New Roman" w:hAnsi="Times New Roman" w:eastAsia="仿宋_GB2312" w:cs="Times New Roman"/>
          <w:snapToGrid/>
          <w:color w:val="000000"/>
          <w:kern w:val="2"/>
          <w:sz w:val="28"/>
          <w:szCs w:val="28"/>
          <w:lang w:val="en-US" w:eastAsia="zh-CN" w:bidi="ar-SA"/>
        </w:rPr>
        <w:t>中标人派驻的服务人员要符合“遵纪守法，爱岗敬业，无犯罪记录，身体健康”的基本要求。中标人负责承担服务人员的工资、加班费、津贴、福利等费用（工资福利标准必须符合中山市最新标准及采购人对各岗位所设定的要求），严格按照国家规定给员工缴纳各种社会保险。中标人对其所聘用的全体人员负责；采购人对中标人所雇佣人员不承担任何责任。中标人与其聘用人员之间的一切权利、义务和纠纷由中标人自行负责，与采购人无关。</w:t>
      </w:r>
    </w:p>
    <w:p w14:paraId="5B9A12D6">
      <w:pPr>
        <w:widowControl w:val="0"/>
        <w:kinsoku/>
        <w:autoSpaceDE w:val="0"/>
        <w:autoSpaceDN w:val="0"/>
        <w:adjustRightInd w:val="0"/>
        <w:snapToGrid w:val="0"/>
        <w:spacing w:line="560" w:lineRule="exact"/>
        <w:ind w:firstLine="640" w:firstLineChars="200"/>
        <w:jc w:val="both"/>
        <w:textAlignment w:val="auto"/>
        <w:rPr>
          <w:rFonts w:hint="eastAsia" w:ascii="黑体" w:hAnsi="黑体" w:eastAsia="黑体" w:cs="黑体"/>
          <w:snapToGrid/>
          <w:kern w:val="2"/>
          <w:sz w:val="32"/>
          <w:szCs w:val="32"/>
          <w:lang w:val="en-US" w:eastAsia="zh-CN"/>
        </w:rPr>
      </w:pPr>
      <w:r>
        <w:rPr>
          <w:rFonts w:hint="eastAsia" w:ascii="黑体" w:hAnsi="黑体" w:eastAsia="黑体" w:cs="黑体"/>
          <w:snapToGrid/>
          <w:kern w:val="2"/>
          <w:sz w:val="32"/>
          <w:szCs w:val="32"/>
          <w:lang w:val="en-US" w:eastAsia="zh-CN"/>
        </w:rPr>
        <w:t>四、饭堂膳食供应服务管理内容（服务标准及管理细则）</w:t>
      </w:r>
    </w:p>
    <w:p w14:paraId="488AB7F2">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1.中标人必须依法经营，开展经营服务活动应符合《中华人民共和国食品安全法》《中华人民共和国安全生产法》、国家食品药品监督管理总局《餐饮服务食品安全操作规范》等法律法规以及采购人的相关管理规定和要求。</w:t>
      </w:r>
    </w:p>
    <w:p w14:paraId="73885431">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2.中标人在采购粮油、肉蛋类、禽类、鱼类、蔬菜 类、副食品类、调味类等原料和物品必须符合国家食品质量标准和卫生标准。保障采购人就餐人员的合法权益，确保饮食卫生，提供优质的饮食服务。</w:t>
      </w:r>
    </w:p>
    <w:p w14:paraId="61F6DD5F">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 xml:space="preserve"> 3.中标人必须严把食品卫生安全关，认真遵守《中华人民共和国食品安全法》的各项要求，实行“规范操作，安全监督”机制。承包期间不得采购过期、腐烂、变质的食材，要对食材进行严格的检测，包括外观、化学残留等方面。</w:t>
      </w:r>
    </w:p>
    <w:p w14:paraId="23AB58D5">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4.中标人应规范进行食材储存与加工，严格落实食品分类、分区储存，冷藏、冷冻食品均按照规定的温度进行储存，并定期进行检查。</w:t>
      </w:r>
    </w:p>
    <w:p w14:paraId="703CD9A4">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5.餐具消毒与清洁：餐具使用前应进行彻底清洗和消毒处理。如高温蒸汽消毒或紫外线消毒。消毒后的餐具应存放在干燥、通风处，避免二次污染。同时应对餐具消毒设备进行维护和检查，确保其正常运行。</w:t>
      </w:r>
    </w:p>
    <w:p w14:paraId="5AB145D8">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6.中标人保证不使用过期食品，一切食品、辅料须正规渠道供应，不采用散装原料，不采用非法生产的食盐，所使用的打包送餐的餐盒、汤盒必须符合国家环保标准和相关质量要求，采购票据妥善保存备查。如出现食物中毒现象，一切责任由中标人承担。</w:t>
      </w:r>
    </w:p>
    <w:p w14:paraId="6F6FAAFE">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7.中标人需向保险公司每年投保“食品安全责任险”，保险金额须≥人民币1000万元。应于本合同签订之日起15日内将责任保险原件交给采购人验明，同时向采购人上交责任保险复印件。未按要求购买保险或提供保单的，采购人有权解除合同。</w:t>
      </w:r>
    </w:p>
    <w:p w14:paraId="27C78152">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8.中标人必须按时提供膳食服务，具体开膳时间为：早餐7:00—9:00，中餐11:30—13:00，晚餐17:00—18:30。</w:t>
      </w:r>
    </w:p>
    <w:p w14:paraId="11CB1FDF">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9.节假日照常提供饮食服务。</w:t>
      </w:r>
    </w:p>
    <w:p w14:paraId="3FCD3192">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 xml:space="preserve">10.当采购人需要时， 中标人必须提供采购人夜间值班人员宵夜供应，宵夜种类和标准由采购人明确。 </w:t>
      </w:r>
    </w:p>
    <w:p w14:paraId="4636F30A">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 xml:space="preserve">11.中标人对医院员工和患者要有良好的服务态度，讲究职业道德及各项文明礼仪（包括着装整齐、干净），并自觉接受就餐人员的监督。 </w:t>
      </w:r>
    </w:p>
    <w:p w14:paraId="427049E8">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 xml:space="preserve">12.中标人应爱护饭堂内的公物，不得将饭堂内的用具随意损坏、丢失或转借他人。 </w:t>
      </w:r>
    </w:p>
    <w:p w14:paraId="3522CEF9">
      <w:pPr>
        <w:pStyle w:val="6"/>
        <w:spacing w:before="0" w:line="480" w:lineRule="exact"/>
        <w:ind w:left="228" w:right="430" w:firstLine="482"/>
        <w:rPr>
          <w:rFonts w:hint="default"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13.中标人需有食品安全检测及保障措施，每周提供不少于5种食材的检测报告（包括蔬菜、鱼肉、猪肉、禽类、水果、冻品、大米、干货、调味料、面食、鸡蛋、食用油等），交采购人存档。</w:t>
      </w:r>
    </w:p>
    <w:p w14:paraId="2498AD67">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★14.采购人已建有消费系统，可实现员工就餐管理，中标人需对就餐人员刷卡进行监督，确保实际用餐人数和刷卡数量一致，严禁将医院就餐补贴费用用于购买货物或水果。</w:t>
      </w:r>
    </w:p>
    <w:p w14:paraId="231AA00C">
      <w:pPr>
        <w:pStyle w:val="6"/>
        <w:spacing w:before="0" w:line="480" w:lineRule="exact"/>
        <w:ind w:left="228" w:right="430" w:firstLine="482"/>
        <w:rPr>
          <w:rFonts w:hint="default"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15.中标人每周提供一次水果。水果品种有(雪梨、香蕉、橙子等)。</w:t>
      </w:r>
    </w:p>
    <w:p w14:paraId="04578EA4">
      <w:pPr>
        <w:widowControl w:val="0"/>
        <w:kinsoku/>
        <w:autoSpaceDE w:val="0"/>
        <w:autoSpaceDN w:val="0"/>
        <w:adjustRightInd w:val="0"/>
        <w:snapToGrid w:val="0"/>
        <w:spacing w:line="560" w:lineRule="exact"/>
        <w:ind w:firstLine="640" w:firstLineChars="200"/>
        <w:jc w:val="both"/>
        <w:textAlignment w:val="auto"/>
        <w:rPr>
          <w:rFonts w:hint="eastAsia" w:ascii="黑体" w:hAnsi="黑体" w:eastAsia="黑体" w:cs="黑体"/>
          <w:snapToGrid/>
          <w:kern w:val="2"/>
          <w:sz w:val="32"/>
          <w:szCs w:val="32"/>
          <w:lang w:val="en-US" w:eastAsia="zh-CN"/>
        </w:rPr>
      </w:pPr>
      <w:r>
        <w:rPr>
          <w:rFonts w:hint="eastAsia" w:ascii="黑体" w:hAnsi="黑体" w:eastAsia="黑体" w:cs="黑体"/>
          <w:snapToGrid/>
          <w:kern w:val="2"/>
          <w:sz w:val="32"/>
          <w:szCs w:val="32"/>
          <w:lang w:val="en-US" w:eastAsia="zh-CN"/>
        </w:rPr>
        <w:t>五、膳食质量、标准</w:t>
      </w:r>
    </w:p>
    <w:p w14:paraId="0AD0FE49">
      <w:pPr>
        <w:spacing w:line="480" w:lineRule="exact"/>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 xml:space="preserve">   </w:t>
      </w:r>
      <w:r>
        <w:rPr>
          <w:rFonts w:hint="eastAsia" w:ascii="Times New Roman" w:hAnsi="Times New Roman" w:eastAsia="楷体_GB2312" w:cs="Times New Roman"/>
          <w:snapToGrid/>
          <w:color w:val="000000"/>
          <w:kern w:val="2"/>
          <w:sz w:val="28"/>
          <w:szCs w:val="28"/>
          <w:lang w:val="en-US" w:eastAsia="zh-CN" w:bidi="ar-SA"/>
        </w:rPr>
        <w:t xml:space="preserve">  （一）膳食质量</w:t>
      </w:r>
    </w:p>
    <w:p w14:paraId="3C462827">
      <w:pPr>
        <w:spacing w:line="480" w:lineRule="exact"/>
        <w:ind w:firstLine="560" w:firstLineChars="200"/>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 xml:space="preserve">1.中标人必须严格按照《中华人民共和国食品安全法》要求制作各种食品，做到食材新鲜、饭熟菜香，营养搭配科学合理。中标人在承包 期间应注意保证提供每天每餐的质量、份量，菜式要经常更新，兼顾南北方特色口味，品种要齐全，保证每餐有新鲜鱼/肉/禽/蛋、蔬菜等菜品 供应，每周提前公示菜单。中标人应全力协助采购人实施营养膳食，认真完成采购人提出的其他膳食要求或开膳方式。 </w:t>
      </w:r>
    </w:p>
    <w:p w14:paraId="43247868">
      <w:pPr>
        <w:spacing w:line="480" w:lineRule="exact"/>
        <w:ind w:firstLine="560" w:firstLineChars="200"/>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 xml:space="preserve">2.中标人保证不使用过期食品，一切原料、辅料须正规渠道供应，不能采用散装原料，不采用非法生产的食盐，采购票据妥善保存，以备检查。 </w:t>
      </w:r>
    </w:p>
    <w:p w14:paraId="5D958353">
      <w:pPr>
        <w:spacing w:line="480" w:lineRule="exact"/>
        <w:ind w:firstLine="560" w:firstLineChars="200"/>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 xml:space="preserve">3.周六、周日应提供与周一至周五相同质量的饭、菜、汤标准。 </w:t>
      </w:r>
    </w:p>
    <w:p w14:paraId="27DADC5C">
      <w:pPr>
        <w:spacing w:line="480" w:lineRule="exact"/>
        <w:ind w:firstLine="560" w:firstLineChars="200"/>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 xml:space="preserve">4.大米：供应的米饭须符合卫生和营养要求，应颗粒均匀、无杂质、有米饭香，不能采购每斤3元以下的大米。 </w:t>
      </w:r>
    </w:p>
    <w:p w14:paraId="3B0E10D0">
      <w:pPr>
        <w:spacing w:line="480" w:lineRule="exact"/>
        <w:ind w:firstLine="560" w:firstLineChars="200"/>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5.食用油：须采购如“鹰唛”“鲁花”“ 中粮”等的纯正食用油，禁止采购棕榈油、调和油及其他餐饮食用油，最终采购的食用油须经采购人认可方可使用。</w:t>
      </w:r>
    </w:p>
    <w:p w14:paraId="0698256C">
      <w:pPr>
        <w:pStyle w:val="6"/>
        <w:spacing w:before="0" w:line="480" w:lineRule="exact"/>
        <w:ind w:right="430" w:firstLine="560" w:firstLineChars="200"/>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6.酱油、味精：建议不用或尽量少用，如必须使用应采用符合市场准入制度并从合法供货商进货。</w:t>
      </w:r>
    </w:p>
    <w:p w14:paraId="59923439">
      <w:pPr>
        <w:pStyle w:val="6"/>
        <w:spacing w:before="0" w:line="480" w:lineRule="exact"/>
        <w:ind w:left="0" w:right="430" w:firstLine="560" w:firstLineChars="200"/>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7.限制采购：</w:t>
      </w:r>
    </w:p>
    <w:p w14:paraId="57AE1928">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default" w:ascii="Times New Roman" w:hAnsi="Times New Roman" w:eastAsia="仿宋_GB2312" w:cs="Times New Roman"/>
          <w:snapToGrid/>
          <w:color w:val="000000"/>
          <w:kern w:val="2"/>
          <w:sz w:val="28"/>
          <w:szCs w:val="28"/>
          <w:lang w:val="en-US" w:eastAsia="zh-CN" w:bidi="ar-SA"/>
        </w:rPr>
        <w:t>（1）</w:t>
      </w:r>
      <w:r>
        <w:rPr>
          <w:rFonts w:hint="eastAsia" w:ascii="Times New Roman" w:hAnsi="Times New Roman" w:eastAsia="仿宋_GB2312" w:cs="Times New Roman"/>
          <w:snapToGrid/>
          <w:color w:val="000000"/>
          <w:kern w:val="2"/>
          <w:sz w:val="28"/>
          <w:szCs w:val="28"/>
          <w:lang w:val="en-US" w:eastAsia="zh-CN" w:bidi="ar-SA"/>
        </w:rPr>
        <w:t>冰冻骨、肉；动物内脏；火腿肠、辣味、咸鱼等不利健康的深加工食品。</w:t>
      </w:r>
    </w:p>
    <w:p w14:paraId="6F1EDB2D">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default" w:ascii="Times New Roman" w:hAnsi="Times New Roman" w:eastAsia="仿宋_GB2312" w:cs="Times New Roman"/>
          <w:snapToGrid/>
          <w:color w:val="000000"/>
          <w:kern w:val="2"/>
          <w:sz w:val="28"/>
          <w:szCs w:val="28"/>
          <w:lang w:val="en-US" w:eastAsia="zh-CN" w:bidi="ar-SA"/>
        </w:rPr>
        <w:t>（2）</w:t>
      </w:r>
      <w:r>
        <w:rPr>
          <w:rFonts w:hint="eastAsia" w:ascii="Times New Roman" w:hAnsi="Times New Roman" w:eastAsia="仿宋_GB2312" w:cs="Times New Roman"/>
          <w:snapToGrid/>
          <w:color w:val="000000"/>
          <w:kern w:val="2"/>
          <w:sz w:val="28"/>
          <w:szCs w:val="28"/>
          <w:lang w:val="en-US" w:eastAsia="zh-CN" w:bidi="ar-SA"/>
        </w:rPr>
        <w:t>泡菜、酸菜等没有外包装的腌制食品。</w:t>
      </w:r>
    </w:p>
    <w:p w14:paraId="27A466B1">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default" w:ascii="Times New Roman" w:hAnsi="Times New Roman" w:eastAsia="仿宋_GB2312" w:cs="Times New Roman"/>
          <w:snapToGrid/>
          <w:color w:val="000000"/>
          <w:kern w:val="2"/>
          <w:sz w:val="28"/>
          <w:szCs w:val="28"/>
          <w:lang w:val="en-US" w:eastAsia="zh-CN" w:bidi="ar-SA"/>
        </w:rPr>
        <w:t>（3）</w:t>
      </w:r>
      <w:r>
        <w:rPr>
          <w:rFonts w:hint="eastAsia" w:ascii="Times New Roman" w:hAnsi="Times New Roman" w:eastAsia="仿宋_GB2312" w:cs="Times New Roman"/>
          <w:snapToGrid/>
          <w:color w:val="000000"/>
          <w:kern w:val="2"/>
          <w:sz w:val="28"/>
          <w:szCs w:val="28"/>
          <w:lang w:val="en-US" w:eastAsia="zh-CN" w:bidi="ar-SA"/>
        </w:rPr>
        <w:t>预制熟食。</w:t>
      </w:r>
    </w:p>
    <w:p w14:paraId="217CB499">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default" w:ascii="Times New Roman" w:hAnsi="Times New Roman" w:eastAsia="楷体_GB2312" w:cs="Times New Roman"/>
          <w:snapToGrid/>
          <w:color w:val="000000"/>
          <w:kern w:val="2"/>
          <w:sz w:val="28"/>
          <w:szCs w:val="28"/>
          <w:lang w:val="en-US" w:eastAsia="zh-CN" w:bidi="ar-SA"/>
        </w:rPr>
        <w:t>（4）</w:t>
      </w:r>
      <w:r>
        <w:rPr>
          <w:rFonts w:hint="eastAsia" w:ascii="Times New Roman" w:hAnsi="Times New Roman" w:eastAsia="仿宋_GB2312" w:cs="Times New Roman"/>
          <w:snapToGrid/>
          <w:color w:val="000000"/>
          <w:kern w:val="2"/>
          <w:sz w:val="28"/>
          <w:szCs w:val="28"/>
          <w:lang w:val="en-US" w:eastAsia="zh-CN" w:bidi="ar-SA"/>
        </w:rPr>
        <w:t>采购人提出的其他禁止采购的食材。以上材料未经采购人同意不得采购。</w:t>
      </w:r>
    </w:p>
    <w:p w14:paraId="02F9678D">
      <w:pPr>
        <w:pStyle w:val="6"/>
        <w:spacing w:before="0" w:line="480" w:lineRule="exact"/>
        <w:ind w:left="0" w:right="430" w:firstLine="560" w:firstLineChars="200"/>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楷体_GB2312" w:cs="Times New Roman"/>
          <w:snapToGrid/>
          <w:color w:val="000000"/>
          <w:kern w:val="2"/>
          <w:sz w:val="28"/>
          <w:szCs w:val="28"/>
          <w:lang w:val="en-US" w:eastAsia="zh-CN" w:bidi="ar-SA"/>
        </w:rPr>
        <w:t>8.</w:t>
      </w:r>
      <w:r>
        <w:rPr>
          <w:rFonts w:hint="eastAsia" w:ascii="Times New Roman" w:hAnsi="Times New Roman" w:eastAsia="仿宋_GB2312" w:cs="Times New Roman"/>
          <w:snapToGrid/>
          <w:color w:val="000000"/>
          <w:kern w:val="2"/>
          <w:sz w:val="28"/>
          <w:szCs w:val="28"/>
          <w:lang w:val="en-US" w:eastAsia="zh-CN" w:bidi="ar-SA"/>
        </w:rPr>
        <w:t>中标人在采购和供应粮油、肉蛋类、禽类、鱼类、蔬菜类、副食品类、调味类等原料和物品必须符合国家食品质量标准和卫生标准，保障就餐人员的合法权益，确保饮食卫生，提供优质的饮食服务，采购票据应妥善保存备案。</w:t>
      </w:r>
    </w:p>
    <w:p w14:paraId="44EA0099">
      <w:pPr>
        <w:pStyle w:val="6"/>
        <w:spacing w:before="0" w:line="480" w:lineRule="exact"/>
        <w:ind w:left="0" w:right="430" w:firstLine="560" w:firstLineChars="200"/>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楷体_GB2312" w:cs="Times New Roman"/>
          <w:snapToGrid/>
          <w:color w:val="000000"/>
          <w:kern w:val="2"/>
          <w:sz w:val="28"/>
          <w:szCs w:val="28"/>
          <w:lang w:val="en-US" w:eastAsia="zh-CN" w:bidi="ar-SA"/>
        </w:rPr>
        <w:t>9.</w:t>
      </w:r>
      <w:r>
        <w:rPr>
          <w:rFonts w:hint="eastAsia" w:ascii="Times New Roman" w:hAnsi="Times New Roman" w:eastAsia="仿宋_GB2312" w:cs="Times New Roman"/>
          <w:snapToGrid/>
          <w:color w:val="000000"/>
          <w:kern w:val="2"/>
          <w:sz w:val="28"/>
          <w:szCs w:val="28"/>
          <w:lang w:val="en-US" w:eastAsia="zh-CN" w:bidi="ar-SA"/>
        </w:rPr>
        <w:t>中标人要严格做到购物索证，建立好购物“台账”，索证验收“台账”，台账记 录（包括餐具消毒“台账”）必须专人规范填写，随时接受采购人及上级部门的检查。</w:t>
      </w:r>
    </w:p>
    <w:p w14:paraId="2007BBD2">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楷体_GB2312" w:cs="Times New Roman"/>
          <w:snapToGrid/>
          <w:color w:val="000000"/>
          <w:kern w:val="2"/>
          <w:sz w:val="28"/>
          <w:szCs w:val="28"/>
          <w:lang w:val="en-US" w:eastAsia="zh-CN" w:bidi="ar-SA"/>
        </w:rPr>
        <w:t>10.</w:t>
      </w:r>
      <w:r>
        <w:rPr>
          <w:rFonts w:hint="eastAsia" w:ascii="Times New Roman" w:hAnsi="Times New Roman" w:eastAsia="仿宋_GB2312" w:cs="Times New Roman"/>
          <w:snapToGrid/>
          <w:color w:val="000000"/>
          <w:kern w:val="2"/>
          <w:sz w:val="28"/>
          <w:szCs w:val="28"/>
          <w:lang w:val="en-US" w:eastAsia="zh-CN" w:bidi="ar-SA"/>
        </w:rPr>
        <w:t>每天饭菜要求留样48小时，样本大于200克，以备查检；其余剩余饭菜、废弃油污由中标人按照相关规定进行处理，不按规定处理引起的责任由中标人自行负责。</w:t>
      </w:r>
    </w:p>
    <w:p w14:paraId="31032124">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楷体_GB2312" w:cs="Times New Roman"/>
          <w:snapToGrid/>
          <w:color w:val="000000"/>
          <w:kern w:val="2"/>
          <w:sz w:val="28"/>
          <w:szCs w:val="28"/>
          <w:lang w:val="en-US" w:eastAsia="zh-CN" w:bidi="ar-SA"/>
        </w:rPr>
        <w:t>11.</w:t>
      </w:r>
      <w:r>
        <w:rPr>
          <w:rFonts w:hint="eastAsia" w:ascii="Times New Roman" w:hAnsi="Times New Roman" w:eastAsia="仿宋_GB2312" w:cs="Times New Roman"/>
          <w:snapToGrid/>
          <w:color w:val="000000"/>
          <w:kern w:val="2"/>
          <w:sz w:val="28"/>
          <w:szCs w:val="28"/>
          <w:lang w:val="en-US" w:eastAsia="zh-CN" w:bidi="ar-SA"/>
        </w:rPr>
        <w:t xml:space="preserve">中标人在经营采购人饭堂期间，必须严格按照采购人规定经营管理，并随时接受总务部、工会、卫生、安全、食品卫生、卫生防疫和技术监督等部门的监督和检查。若检查中出现违反质量标准、《食品卫生法》及有关部门的要求，采购人将对中标人发出书面整改通知，中标人要及时整改。 </w:t>
      </w:r>
    </w:p>
    <w:p w14:paraId="6FC867B1">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w:t>
      </w:r>
      <w:r>
        <w:rPr>
          <w:rFonts w:hint="eastAsia" w:ascii="楷体_GB2312" w:hAnsi="楷体_GB2312" w:eastAsia="楷体_GB2312" w:cs="楷体_GB2312"/>
          <w:snapToGrid/>
          <w:color w:val="000000"/>
          <w:kern w:val="2"/>
          <w:sz w:val="28"/>
          <w:szCs w:val="28"/>
          <w:lang w:val="en-US" w:eastAsia="zh-CN" w:bidi="ar-SA"/>
        </w:rPr>
        <w:t>12.供餐类型与计价标准：</w:t>
      </w:r>
    </w:p>
    <w:p w14:paraId="0B24CD95">
      <w:pPr>
        <w:pStyle w:val="6"/>
        <w:spacing w:before="0" w:line="480" w:lineRule="exact"/>
        <w:ind w:left="228" w:right="430" w:firstLine="482"/>
        <w:rPr>
          <w:rFonts w:hint="eastAsia" w:ascii="仿宋_GB2312" w:hAnsi="仿宋_GB2312" w:eastAsia="仿宋_GB2312" w:cs="仿宋_GB2312"/>
          <w:color w:val="auto"/>
          <w:spacing w:val="11"/>
          <w:sz w:val="24"/>
          <w:szCs w:val="24"/>
          <w:highlight w:val="none"/>
          <w:lang w:eastAsia="zh-CN"/>
        </w:rPr>
      </w:pPr>
      <w:r>
        <w:rPr>
          <w:rFonts w:hint="default" w:ascii="Times New Roman" w:hAnsi="Times New Roman" w:eastAsia="楷体_GB2312" w:cs="Times New Roman"/>
          <w:snapToGrid/>
          <w:color w:val="000000"/>
          <w:kern w:val="2"/>
          <w:sz w:val="28"/>
          <w:szCs w:val="28"/>
          <w:lang w:val="en-US" w:eastAsia="zh-CN" w:bidi="ar-SA"/>
        </w:rPr>
        <w:t>（1）</w:t>
      </w:r>
      <w:r>
        <w:rPr>
          <w:rFonts w:hint="eastAsia" w:ascii="楷体_GB2312" w:hAnsi="楷体_GB2312" w:eastAsia="楷体_GB2312" w:cs="楷体_GB2312"/>
          <w:snapToGrid/>
          <w:color w:val="000000"/>
          <w:kern w:val="2"/>
          <w:sz w:val="28"/>
          <w:szCs w:val="28"/>
          <w:lang w:val="en-US" w:eastAsia="zh-CN" w:bidi="ar-SA"/>
        </w:rPr>
        <w:t>员工早餐：</w:t>
      </w:r>
      <w:r>
        <w:rPr>
          <w:rFonts w:hint="eastAsia" w:ascii="Times New Roman" w:hAnsi="Times New Roman" w:eastAsia="仿宋_GB2312" w:cs="Times New Roman"/>
          <w:snapToGrid/>
          <w:color w:val="000000"/>
          <w:kern w:val="2"/>
          <w:sz w:val="28"/>
          <w:szCs w:val="28"/>
          <w:lang w:val="en-US" w:eastAsia="zh-CN" w:bidi="ar-SA"/>
        </w:rPr>
        <w:t>采购方支付员工的就餐补贴费用</w:t>
      </w:r>
      <w:r>
        <w:rPr>
          <w:rFonts w:hint="eastAsia" w:ascii="Times New Roman" w:hAnsi="Times New Roman" w:eastAsia="仿宋_GB2312" w:cs="Times New Roman"/>
          <w:b/>
          <w:bCs/>
          <w:snapToGrid/>
          <w:color w:val="000000"/>
          <w:kern w:val="2"/>
          <w:sz w:val="28"/>
          <w:szCs w:val="28"/>
          <w:lang w:val="en-US" w:eastAsia="zh-CN" w:bidi="ar-SA"/>
        </w:rPr>
        <w:t>（早餐餐标自选补贴一半，封顶为3元，不含个人刷卡部分）</w:t>
      </w:r>
      <w:r>
        <w:rPr>
          <w:rFonts w:hint="eastAsia" w:ascii="Times New Roman" w:hAnsi="Times New Roman" w:eastAsia="仿宋_GB2312" w:cs="Times New Roman"/>
          <w:snapToGrid/>
          <w:color w:val="000000"/>
          <w:kern w:val="2"/>
          <w:sz w:val="28"/>
          <w:szCs w:val="28"/>
          <w:lang w:val="en-US" w:eastAsia="zh-CN" w:bidi="ar-SA"/>
        </w:rPr>
        <w:t>，每日提供不少于8个品种的早餐供员工选择，需在饭堂醒目位置公示每品种早餐价格，所有品种价格需在医院管理部门批准备案后，才能进行提供。</w:t>
      </w:r>
    </w:p>
    <w:p w14:paraId="6B2DD503">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default" w:ascii="Times New Roman" w:hAnsi="Times New Roman" w:eastAsia="仿宋_GB2312" w:cs="Times New Roman"/>
          <w:snapToGrid/>
          <w:color w:val="000000"/>
          <w:kern w:val="2"/>
          <w:sz w:val="28"/>
          <w:szCs w:val="28"/>
          <w:lang w:val="en-US" w:eastAsia="zh-CN" w:bidi="ar-SA"/>
        </w:rPr>
        <w:t>（2）</w:t>
      </w:r>
      <w:r>
        <w:rPr>
          <w:rFonts w:hint="eastAsia" w:ascii="楷体_GB2312" w:hAnsi="楷体_GB2312" w:eastAsia="楷体_GB2312" w:cs="楷体_GB2312"/>
          <w:snapToGrid/>
          <w:color w:val="000000"/>
          <w:kern w:val="2"/>
          <w:sz w:val="28"/>
          <w:szCs w:val="28"/>
          <w:lang w:val="en-US" w:eastAsia="zh-CN" w:bidi="ar-SA"/>
        </w:rPr>
        <w:t>员工午餐、晚餐：</w:t>
      </w:r>
      <w:r>
        <w:rPr>
          <w:rFonts w:hint="eastAsia" w:ascii="Times New Roman" w:hAnsi="Times New Roman" w:eastAsia="仿宋_GB2312" w:cs="Times New Roman"/>
          <w:snapToGrid/>
          <w:color w:val="000000"/>
          <w:kern w:val="2"/>
          <w:sz w:val="28"/>
          <w:szCs w:val="28"/>
          <w:lang w:val="en-US" w:eastAsia="zh-CN" w:bidi="ar-SA"/>
        </w:rPr>
        <w:t>16元/餐（不含打包费1元），餐费分为：</w:t>
      </w:r>
      <w:r>
        <w:rPr>
          <w:rFonts w:hint="eastAsia" w:ascii="Times New Roman" w:hAnsi="Times New Roman" w:eastAsia="仿宋_GB2312" w:cs="Times New Roman"/>
          <w:b/>
          <w:bCs/>
          <w:snapToGrid/>
          <w:color w:val="000000"/>
          <w:kern w:val="2"/>
          <w:sz w:val="28"/>
          <w:szCs w:val="28"/>
          <w:lang w:val="en-US" w:eastAsia="zh-CN" w:bidi="ar-SA"/>
        </w:rPr>
        <w:t>采购方支付员工的就餐补贴费用（午餐和晚餐各餐补贴10元，餐费补贴为医院承担部分）和员工个人刷卡部分（员工个人自付6元）。</w:t>
      </w:r>
      <w:r>
        <w:rPr>
          <w:rFonts w:hint="eastAsia" w:ascii="Times New Roman" w:hAnsi="Times New Roman" w:eastAsia="仿宋_GB2312" w:cs="Times New Roman"/>
          <w:snapToGrid/>
          <w:color w:val="000000"/>
          <w:kern w:val="2"/>
          <w:sz w:val="28"/>
          <w:szCs w:val="28"/>
          <w:lang w:val="en-US" w:eastAsia="zh-CN" w:bidi="ar-SA"/>
        </w:rPr>
        <w:t>每日午餐提供不少于8个品种的菜（荤、素），晚餐提供不少于6个品种的菜（荤、素）；每周提供的菜式不少于30款，并提前公示菜单，以粤菜为主，兼顾南北方菜式风味。</w:t>
      </w:r>
    </w:p>
    <w:p w14:paraId="23B7E75F">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（3）</w:t>
      </w:r>
      <w:r>
        <w:rPr>
          <w:rFonts w:hint="eastAsia" w:ascii="楷体_GB2312" w:hAnsi="楷体_GB2312" w:eastAsia="楷体_GB2312" w:cs="楷体_GB2312"/>
          <w:snapToGrid/>
          <w:color w:val="000000"/>
          <w:kern w:val="2"/>
          <w:sz w:val="28"/>
          <w:szCs w:val="28"/>
          <w:lang w:val="en-US" w:eastAsia="zh-CN" w:bidi="ar-SA"/>
        </w:rPr>
        <w:t>病人餐：</w:t>
      </w:r>
      <w:r>
        <w:rPr>
          <w:rFonts w:hint="eastAsia" w:ascii="Times New Roman" w:hAnsi="Times New Roman" w:eastAsia="仿宋_GB2312" w:cs="Times New Roman"/>
          <w:snapToGrid/>
          <w:color w:val="000000"/>
          <w:kern w:val="2"/>
          <w:sz w:val="28"/>
          <w:szCs w:val="28"/>
          <w:lang w:val="en-US" w:eastAsia="zh-CN" w:bidi="ar-SA"/>
        </w:rPr>
        <w:t>16元/餐（已含打包1元），伙食标准两荤一素一汤，打包送餐的餐盒、汤盒必须符合国家环保标准和相关质量要求。患者供餐费用由病人与患者（家属或政府管理部门）自行结算。</w:t>
      </w:r>
    </w:p>
    <w:p w14:paraId="2EF761AD">
      <w:pPr>
        <w:widowControl w:val="0"/>
        <w:kinsoku/>
        <w:autoSpaceDE w:val="0"/>
        <w:autoSpaceDN w:val="0"/>
        <w:adjustRightInd w:val="0"/>
        <w:snapToGrid w:val="0"/>
        <w:spacing w:line="560" w:lineRule="exact"/>
        <w:ind w:firstLine="640" w:firstLineChars="200"/>
        <w:jc w:val="both"/>
        <w:textAlignment w:val="auto"/>
        <w:rPr>
          <w:rFonts w:hint="eastAsia" w:ascii="黑体" w:hAnsi="黑体" w:eastAsia="黑体" w:cs="黑体"/>
          <w:snapToGrid/>
          <w:kern w:val="2"/>
          <w:sz w:val="32"/>
          <w:szCs w:val="32"/>
          <w:lang w:val="en-US" w:eastAsia="zh-CN"/>
        </w:rPr>
      </w:pPr>
      <w:r>
        <w:rPr>
          <w:rFonts w:hint="eastAsia" w:ascii="黑体" w:hAnsi="黑体" w:eastAsia="黑体" w:cs="黑体"/>
          <w:snapToGrid/>
          <w:kern w:val="2"/>
          <w:sz w:val="32"/>
          <w:szCs w:val="32"/>
          <w:lang w:val="en-US" w:eastAsia="zh-CN"/>
        </w:rPr>
        <w:t>六、其他服务：</w:t>
      </w:r>
    </w:p>
    <w:p w14:paraId="50218D43">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因采购人地处偏僻，方圆两公里内基本无超市，为解决患者及家属住院及就诊期间无法及时便利地买到生活物资和充电服务等的燃眉之急，中标人可在采购人指定的位置自主投资1～2个3*8米集装箱及相关配套设施开办便民服务点及便民服务设施（自助售卖机、充电宝等），提供便民服务并做好相关的环境美化与保洁工作。</w:t>
      </w:r>
    </w:p>
    <w:p w14:paraId="689784F0">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1.按照工商管理等规定合法注册、运营。</w:t>
      </w:r>
    </w:p>
    <w:p w14:paraId="0C743085">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2.便民服务点常规所售物品价格不高于壹加壹超市同期同型号同品牌物品价格。</w:t>
      </w:r>
    </w:p>
    <w:p w14:paraId="22698BEC">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3.应提供有包装品种齐全、正规生产商生产的符合相关质量标准的产品；同类商品以名牌为主不允许销售假冒伪劣及过期产品。</w:t>
      </w:r>
    </w:p>
    <w:p w14:paraId="4DE8ACCD">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4.便民服务点常规售卖物品需满足医护人员、患者及家属就诊期间的日常生活所需；不得售卖医疗器械耗材、药品。</w:t>
      </w:r>
    </w:p>
    <w:p w14:paraId="6D7B81BF">
      <w:pPr>
        <w:widowControl w:val="0"/>
        <w:kinsoku/>
        <w:autoSpaceDE w:val="0"/>
        <w:autoSpaceDN w:val="0"/>
        <w:adjustRightInd w:val="0"/>
        <w:snapToGrid w:val="0"/>
        <w:spacing w:line="560" w:lineRule="exact"/>
        <w:ind w:firstLine="640" w:firstLineChars="200"/>
        <w:jc w:val="both"/>
        <w:textAlignment w:val="auto"/>
        <w:rPr>
          <w:rFonts w:hint="eastAsia" w:ascii="黑体" w:hAnsi="黑体" w:eastAsia="黑体" w:cs="黑体"/>
          <w:snapToGrid/>
          <w:kern w:val="2"/>
          <w:sz w:val="32"/>
          <w:szCs w:val="32"/>
          <w:lang w:val="en-US" w:eastAsia="zh-CN"/>
        </w:rPr>
      </w:pPr>
      <w:r>
        <w:rPr>
          <w:rFonts w:hint="eastAsia" w:ascii="黑体" w:hAnsi="黑体" w:eastAsia="黑体" w:cs="黑体"/>
          <w:snapToGrid/>
          <w:kern w:val="2"/>
          <w:sz w:val="32"/>
          <w:szCs w:val="32"/>
          <w:lang w:val="en-US" w:eastAsia="zh-CN"/>
        </w:rPr>
        <w:t>七.电费收取</w:t>
      </w:r>
    </w:p>
    <w:p w14:paraId="62AB5D07">
      <w:pPr>
        <w:pStyle w:val="6"/>
        <w:spacing w:before="0" w:line="480" w:lineRule="exact"/>
        <w:ind w:left="228" w:right="430" w:firstLine="482"/>
        <w:rPr>
          <w:rFonts w:hint="default"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1.水电费收取范围：便民服务点、自助售卖机、饭堂。</w:t>
      </w:r>
    </w:p>
    <w:p w14:paraId="004ED5CA">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2.水电费收取方式：水、电费根据实际使用量计算费用，水、电费设置计量表，单价以供电局、供水公司的收费单价为准。每季度向采购人支付一次。</w:t>
      </w:r>
    </w:p>
    <w:p w14:paraId="588AC544">
      <w:pPr>
        <w:widowControl w:val="0"/>
        <w:kinsoku/>
        <w:autoSpaceDE w:val="0"/>
        <w:autoSpaceDN w:val="0"/>
        <w:adjustRightInd w:val="0"/>
        <w:snapToGrid w:val="0"/>
        <w:spacing w:line="560" w:lineRule="exact"/>
        <w:ind w:firstLine="640" w:firstLineChars="200"/>
        <w:jc w:val="both"/>
        <w:textAlignment w:val="auto"/>
        <w:rPr>
          <w:rFonts w:hint="eastAsia" w:ascii="黑体" w:hAnsi="黑体" w:eastAsia="黑体" w:cs="黑体"/>
          <w:snapToGrid/>
          <w:kern w:val="2"/>
          <w:sz w:val="32"/>
          <w:szCs w:val="32"/>
          <w:lang w:val="en-US" w:eastAsia="zh-CN"/>
        </w:rPr>
      </w:pPr>
      <w:r>
        <w:rPr>
          <w:rFonts w:hint="eastAsia" w:ascii="黑体" w:hAnsi="黑体" w:eastAsia="黑体" w:cs="黑体"/>
          <w:snapToGrid/>
          <w:kern w:val="2"/>
          <w:sz w:val="32"/>
          <w:szCs w:val="32"/>
          <w:lang w:val="en-US" w:eastAsia="zh-CN"/>
        </w:rPr>
        <w:t>八、监督考核</w:t>
      </w:r>
    </w:p>
    <w:p w14:paraId="1435034B">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1.承包期间，如中标人质量、卫生等未能达到合同或政府相关部门标准。采购人提出合理的改进建议，中标人须在3天内改进，15天内达到要求。逾期未整改每次扣罚1000元，超过三次仍未整改完成或整改态度不端正，采购人有权随时终止合同。</w:t>
      </w:r>
    </w:p>
    <w:p w14:paraId="370DD6A2">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2.中标人承包期间不得采购过期、腐烂、变质等食材，采购人经核实发现问题，责令中标人限期整改并处以罚款，第一次罚500元，第二次罚1000元，如此翻倍。</w:t>
      </w:r>
    </w:p>
    <w:p w14:paraId="5A16E97A">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3.中标人需有完善的食物中毒应急处理预案和流程，如发生食物中毒的事故，需配合监管部门进行调查处理，如实提供情况和资料，根据调查结果采取相应的整改措施。采购人根据相关部门的调查处理结果，视情节轻重予以处罚，每出现一次事故予以扣罚≥2000元，情节严重的除承担相应的处罚外，采购人有权终止合同，且不承担任何责任。</w:t>
      </w:r>
    </w:p>
    <w:p w14:paraId="2CB09C2C">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4.中标人应加强患者隐私保护，不得向他人或机构透露、传播或复制医院患者及其亲属的个人信息等，如发现擅自对外透露、传播本院患者及其亲属个人的资料，每发现1次扣罚1000元/次并要求当事人脱离本岗位，情节严重的依法追究刑事责任。</w:t>
      </w:r>
    </w:p>
    <w:p w14:paraId="36CB6FF7">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5.中标人须认真配合采购人开展节能降耗工作，采购人若发现中标人有存在违反节能相关规定的行为，每发现一次扣罚200元。</w:t>
      </w:r>
    </w:p>
    <w:p w14:paraId="50FCC3DC">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6.服务质量评价：采购人每月对中标人日常的饮食卫生、环境卫生、个人卫生、出品质量、份量、品种、外观、味道、烹调技术和服务态度进行评估。采购人每月按照《中山市第二人民医院饭堂膳食供应服务月度考核表》进行考核，将考核情况及时反馈给中标人并提出整改要求。</w:t>
      </w:r>
    </w:p>
    <w:p w14:paraId="41CD5A93">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6.1.考核满分为100分，考核得分90分或以上为合格；考核得分低于90分为不合格，每低1分扣1000元，从当月服务费中扣除。</w:t>
      </w:r>
    </w:p>
    <w:p w14:paraId="06A59828">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6.2.考核得分90分以下（不合格），中标人以书面形式向采购人提交整改措施。</w:t>
      </w:r>
    </w:p>
    <w:p w14:paraId="6D68D6E1">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6.3.一年内连续两次或合计三次考核低于90分以下的，采购人有权提出终止合同。</w:t>
      </w:r>
    </w:p>
    <w:p w14:paraId="44D7A127">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7.</w:t>
      </w:r>
      <w:r>
        <w:rPr>
          <w:rFonts w:hint="eastAsia" w:ascii="楷体_GB2312" w:hAnsi="楷体_GB2312" w:eastAsia="楷体_GB2312" w:cs="楷体_GB2312"/>
          <w:snapToGrid/>
          <w:color w:val="000000"/>
          <w:kern w:val="2"/>
          <w:sz w:val="28"/>
          <w:szCs w:val="28"/>
          <w:lang w:val="en-US" w:eastAsia="zh-CN" w:bidi="ar-SA"/>
        </w:rPr>
        <w:t>满意度调查：</w:t>
      </w:r>
      <w:r>
        <w:rPr>
          <w:rFonts w:hint="eastAsia" w:ascii="Times New Roman" w:hAnsi="Times New Roman" w:eastAsia="仿宋_GB2312" w:cs="Times New Roman"/>
          <w:snapToGrid/>
          <w:color w:val="000000"/>
          <w:kern w:val="2"/>
          <w:sz w:val="28"/>
          <w:szCs w:val="28"/>
          <w:lang w:val="en-US" w:eastAsia="zh-CN" w:bidi="ar-SA"/>
        </w:rPr>
        <w:t>采购人每季度进行员工、患者的满意度调查，数量不得少于50人，评价结果满意度需达到90%及以上，并将满意度调查结果反馈给中标人限期整改。</w:t>
      </w:r>
    </w:p>
    <w:p w14:paraId="5474F18B">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7.1.采购人管理科室及满意度调查第三公司收集反馈饭堂服务质量问题较多时，采购人有权随时组织院内员工及患者开展饭堂服务满意度调查，满意度调查结果连续两次低于65%，采购人有权提出终止合同，中标人需承担相应的合同违约金，并无条件配合采购人继续提供膳食服务直至新的中标人成功进场并完成交接工作为止。</w:t>
      </w:r>
    </w:p>
    <w:p w14:paraId="55505ACE">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8.中标人须配合采购人或公安、消防、安监、食品安全、卫生防疫等部门做好安全宣传和查验工作。中标人未按相关法律法规及本合同规定履行相关义务，被有关部门认定不符合公安、消防、安监、食品安全、卫生防疫等要求并作出处罚，处罚达3次及以上的（任何原因导致的处罚总数），采购人有权解除合同。</w:t>
      </w:r>
    </w:p>
    <w:p w14:paraId="78D6911C">
      <w:pPr>
        <w:widowControl w:val="0"/>
        <w:kinsoku/>
        <w:autoSpaceDE w:val="0"/>
        <w:autoSpaceDN w:val="0"/>
        <w:adjustRightInd w:val="0"/>
        <w:snapToGrid w:val="0"/>
        <w:spacing w:line="560" w:lineRule="exact"/>
        <w:ind w:firstLine="640" w:firstLineChars="200"/>
        <w:jc w:val="both"/>
        <w:textAlignment w:val="auto"/>
        <w:rPr>
          <w:rFonts w:hint="eastAsia" w:ascii="黑体" w:hAnsi="黑体" w:eastAsia="黑体" w:cs="黑体"/>
          <w:snapToGrid/>
          <w:kern w:val="2"/>
          <w:sz w:val="32"/>
          <w:szCs w:val="32"/>
          <w:lang w:val="en-US" w:eastAsia="zh-CN"/>
        </w:rPr>
      </w:pPr>
      <w:r>
        <w:rPr>
          <w:rFonts w:hint="eastAsia" w:ascii="黑体" w:hAnsi="黑体" w:eastAsia="黑体" w:cs="黑体"/>
          <w:snapToGrid/>
          <w:kern w:val="2"/>
          <w:sz w:val="32"/>
          <w:szCs w:val="32"/>
          <w:lang w:val="en-US" w:eastAsia="zh-CN"/>
        </w:rPr>
        <w:t>九、费用支付</w:t>
      </w:r>
    </w:p>
    <w:p w14:paraId="420B575D">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default" w:ascii="Times New Roman" w:hAnsi="Times New Roman" w:eastAsia="仿宋_GB2312" w:cs="Times New Roman"/>
          <w:snapToGrid/>
          <w:color w:val="000000"/>
          <w:kern w:val="2"/>
          <w:sz w:val="28"/>
          <w:szCs w:val="28"/>
          <w:lang w:val="en-US" w:eastAsia="zh-CN" w:bidi="ar-SA"/>
        </w:rPr>
        <w:t>（一）</w:t>
      </w:r>
      <w:r>
        <w:rPr>
          <w:rFonts w:hint="eastAsia" w:ascii="楷体_GB2312" w:hAnsi="楷体_GB2312" w:eastAsia="楷体_GB2312" w:cs="楷体_GB2312"/>
          <w:snapToGrid/>
          <w:color w:val="000000"/>
          <w:kern w:val="2"/>
          <w:sz w:val="28"/>
          <w:szCs w:val="28"/>
          <w:lang w:val="en-US" w:eastAsia="zh-CN" w:bidi="ar-SA"/>
        </w:rPr>
        <w:t>付款方式：</w:t>
      </w:r>
      <w:r>
        <w:rPr>
          <w:rFonts w:hint="eastAsia" w:ascii="Times New Roman" w:hAnsi="Times New Roman" w:eastAsia="仿宋_GB2312" w:cs="Times New Roman"/>
          <w:snapToGrid/>
          <w:color w:val="000000"/>
          <w:kern w:val="2"/>
          <w:sz w:val="28"/>
          <w:szCs w:val="28"/>
          <w:lang w:val="en-US" w:eastAsia="zh-CN" w:bidi="ar-SA"/>
        </w:rPr>
        <w:t>采用银行转账方式支付。</w:t>
      </w:r>
    </w:p>
    <w:p w14:paraId="41632F17">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default" w:ascii="Times New Roman" w:hAnsi="Times New Roman" w:eastAsia="仿宋_GB2312" w:cs="Times New Roman"/>
          <w:snapToGrid/>
          <w:color w:val="000000"/>
          <w:kern w:val="2"/>
          <w:sz w:val="28"/>
          <w:szCs w:val="28"/>
          <w:lang w:val="en-US" w:eastAsia="zh-CN" w:bidi="ar-SA"/>
        </w:rPr>
        <w:t>（二）</w:t>
      </w:r>
      <w:r>
        <w:rPr>
          <w:rFonts w:hint="eastAsia" w:ascii="楷体_GB2312" w:hAnsi="楷体_GB2312" w:eastAsia="楷体_GB2312" w:cs="楷体_GB2312"/>
          <w:snapToGrid/>
          <w:color w:val="000000"/>
          <w:kern w:val="2"/>
          <w:sz w:val="28"/>
          <w:szCs w:val="28"/>
          <w:lang w:val="en-US" w:eastAsia="zh-CN" w:bidi="ar-SA"/>
        </w:rPr>
        <w:t>结算方式：</w:t>
      </w:r>
    </w:p>
    <w:p w14:paraId="390E2141">
      <w:pPr>
        <w:pStyle w:val="6"/>
        <w:spacing w:before="0" w:line="480" w:lineRule="exact"/>
        <w:ind w:left="228" w:right="430" w:firstLine="482"/>
        <w:rPr>
          <w:rFonts w:hint="eastAsia" w:ascii="楷体_GB2312" w:hAnsi="楷体_GB2312" w:eastAsia="楷体_GB2312" w:cs="楷体_GB2312"/>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1</w:t>
      </w:r>
      <w:r>
        <w:rPr>
          <w:rFonts w:hint="eastAsia" w:ascii="楷体_GB2312" w:hAnsi="楷体_GB2312" w:eastAsia="楷体_GB2312" w:cs="楷体_GB2312"/>
          <w:snapToGrid/>
          <w:color w:val="000000"/>
          <w:kern w:val="2"/>
          <w:sz w:val="28"/>
          <w:szCs w:val="28"/>
          <w:lang w:val="en-US" w:eastAsia="zh-CN" w:bidi="ar-SA"/>
        </w:rPr>
        <w:t>.饭堂服务费：</w:t>
      </w:r>
    </w:p>
    <w:p w14:paraId="31010B27">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次月20号（含）前支付上月饭堂服务费用的90%，在每年年度合同结束后的次月将该年度合同期内每月未支付的10%饭堂服务费用支付完毕；如实际服务期不足一年的，清场时统一清算。</w:t>
      </w:r>
    </w:p>
    <w:p w14:paraId="283E0607">
      <w:pPr>
        <w:pStyle w:val="6"/>
        <w:spacing w:before="0" w:line="480" w:lineRule="exact"/>
        <w:ind w:left="228" w:right="430" w:firstLine="482"/>
        <w:rPr>
          <w:rFonts w:hint="default"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2.</w:t>
      </w:r>
      <w:r>
        <w:rPr>
          <w:rFonts w:hint="eastAsia" w:ascii="楷体_GB2312" w:hAnsi="楷体_GB2312" w:eastAsia="楷体_GB2312" w:cs="楷体_GB2312"/>
          <w:snapToGrid/>
          <w:color w:val="000000"/>
          <w:kern w:val="2"/>
          <w:sz w:val="28"/>
          <w:szCs w:val="28"/>
          <w:lang w:val="en-US" w:eastAsia="zh-CN" w:bidi="ar-SA"/>
        </w:rPr>
        <w:t>餐费：</w:t>
      </w:r>
      <w:r>
        <w:rPr>
          <w:rFonts w:hint="eastAsia" w:ascii="Times New Roman" w:hAnsi="Times New Roman" w:eastAsia="仿宋_GB2312" w:cs="Times New Roman"/>
          <w:snapToGrid/>
          <w:color w:val="000000"/>
          <w:kern w:val="2"/>
          <w:sz w:val="28"/>
          <w:szCs w:val="28"/>
          <w:lang w:val="en-US" w:eastAsia="zh-CN" w:bidi="ar-SA"/>
        </w:rPr>
        <w:t>次月支付上月餐费。每月结算一次，中标人按采购人合同要求完成工作并结合考核情况，于次月10日前中标人向采购人提供以下资料：</w:t>
      </w:r>
    </w:p>
    <w:p w14:paraId="6ACBCE5D">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（1）经采购人和中标人双方签字确认的《中山市第二人民医院饭堂膳食供应服务月度考核表》;</w:t>
      </w:r>
    </w:p>
    <w:p w14:paraId="79445F43">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default" w:ascii="Times New Roman" w:hAnsi="Times New Roman" w:eastAsia="仿宋_GB2312" w:cs="Times New Roman"/>
          <w:snapToGrid/>
          <w:color w:val="000000"/>
          <w:kern w:val="2"/>
          <w:sz w:val="28"/>
          <w:szCs w:val="28"/>
          <w:lang w:val="en-US" w:eastAsia="zh-CN" w:bidi="ar-SA"/>
        </w:rPr>
        <w:t>（2）</w:t>
      </w:r>
      <w:r>
        <w:rPr>
          <w:rFonts w:hint="eastAsia" w:ascii="Times New Roman" w:hAnsi="Times New Roman" w:eastAsia="仿宋_GB2312" w:cs="Times New Roman"/>
          <w:snapToGrid/>
          <w:color w:val="000000"/>
          <w:kern w:val="2"/>
          <w:sz w:val="28"/>
          <w:szCs w:val="28"/>
          <w:lang w:val="en-US" w:eastAsia="zh-CN" w:bidi="ar-SA"/>
        </w:rPr>
        <w:t>中标人相应金额、合法、有效且符合采购人要求的正规发票（发票金额按扣除考核罚款后金额开具），采购人在收到发票后按发票金额支付相应费用；</w:t>
      </w:r>
    </w:p>
    <w:p w14:paraId="4E6DA79A">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default" w:ascii="Times New Roman" w:hAnsi="Times New Roman" w:eastAsia="仿宋_GB2312" w:cs="Times New Roman"/>
          <w:snapToGrid/>
          <w:color w:val="000000"/>
          <w:kern w:val="2"/>
          <w:sz w:val="28"/>
          <w:szCs w:val="28"/>
          <w:lang w:val="en-US" w:eastAsia="zh-CN" w:bidi="ar-SA"/>
        </w:rPr>
        <w:t>（3）</w:t>
      </w:r>
      <w:r>
        <w:rPr>
          <w:rFonts w:hint="eastAsia" w:ascii="Times New Roman" w:hAnsi="Times New Roman" w:eastAsia="仿宋_GB2312" w:cs="Times New Roman"/>
          <w:snapToGrid/>
          <w:color w:val="000000"/>
          <w:kern w:val="2"/>
          <w:sz w:val="28"/>
          <w:szCs w:val="28"/>
          <w:lang w:val="en-US" w:eastAsia="zh-CN" w:bidi="ar-SA"/>
        </w:rPr>
        <w:t>每月支付金额=每月餐费-每月服务质量考核扣罚金额-其他扣罚金额；</w:t>
      </w:r>
    </w:p>
    <w:p w14:paraId="77244184">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①病人和家属用餐由病人和家属自行支付。</w:t>
      </w:r>
    </w:p>
    <w:p w14:paraId="014AF9F1">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②三无人员用餐、体检早餐、医院其他用餐等按照医院相关要求和制度支付。</w:t>
      </w:r>
    </w:p>
    <w:p w14:paraId="3BF573D4">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③员工餐费采用当月刷卡用餐次月结算的方式，结算时根据饭堂用餐刷卡系统记录进行统计，由中标人、医院饭堂管理归口部门、医院财务科等核实对账，对账无误后由中标人开出发票。</w:t>
      </w:r>
    </w:p>
    <w:p w14:paraId="013D70B1">
      <w:pPr>
        <w:pStyle w:val="6"/>
        <w:spacing w:before="0" w:line="480" w:lineRule="exact"/>
        <w:ind w:left="228" w:right="430" w:firstLine="482"/>
        <w:rPr>
          <w:rFonts w:hint="eastAsia" w:ascii="Times New Roman" w:hAnsi="Times New Roman" w:eastAsia="仿宋_GB2312" w:cs="Times New Roman"/>
          <w:snapToGrid/>
          <w:color w:val="000000"/>
          <w:kern w:val="2"/>
          <w:sz w:val="28"/>
          <w:szCs w:val="28"/>
          <w:lang w:val="en-US" w:eastAsia="zh-CN" w:bidi="ar-SA"/>
        </w:rPr>
      </w:pPr>
      <w:r>
        <w:rPr>
          <w:rFonts w:hint="eastAsia" w:ascii="Times New Roman" w:hAnsi="Times New Roman" w:eastAsia="仿宋_GB2312" w:cs="Times New Roman"/>
          <w:snapToGrid/>
          <w:color w:val="000000"/>
          <w:kern w:val="2"/>
          <w:sz w:val="28"/>
          <w:szCs w:val="28"/>
          <w:lang w:val="en-US" w:eastAsia="zh-CN" w:bidi="ar-SA"/>
        </w:rPr>
        <w:t xml:space="preserve"> 3.中标人所提供的发票收款账号、开户银行须与合同一致。</w:t>
      </w:r>
    </w:p>
    <w:p w14:paraId="6BCB371F">
      <w:pPr>
        <w:pStyle w:val="6"/>
        <w:tabs>
          <w:tab w:val="left" w:pos="312"/>
        </w:tabs>
        <w:spacing w:before="0" w:line="300" w:lineRule="exact"/>
        <w:ind w:left="710" w:right="430"/>
        <w:rPr>
          <w:rFonts w:asciiTheme="minorEastAsia" w:hAnsiTheme="minorEastAsia" w:eastAsiaTheme="minorEastAsia" w:cstheme="minorEastAsia"/>
          <w:color w:val="auto"/>
          <w:spacing w:val="11"/>
          <w:sz w:val="21"/>
          <w:szCs w:val="21"/>
          <w:highlight w:val="none"/>
          <w:lang w:eastAsia="zh-CN"/>
        </w:rPr>
      </w:pPr>
    </w:p>
    <w:p w14:paraId="71C58B30">
      <w:pPr>
        <w:pStyle w:val="6"/>
        <w:tabs>
          <w:tab w:val="left" w:pos="312"/>
        </w:tabs>
        <w:spacing w:before="0" w:line="300" w:lineRule="exact"/>
        <w:ind w:left="710" w:right="430"/>
        <w:rPr>
          <w:rFonts w:asciiTheme="minorEastAsia" w:hAnsiTheme="minorEastAsia" w:eastAsiaTheme="minorEastAsia" w:cstheme="minorEastAsia"/>
          <w:color w:val="auto"/>
          <w:spacing w:val="11"/>
          <w:sz w:val="21"/>
          <w:szCs w:val="21"/>
          <w:highlight w:val="none"/>
          <w:lang w:eastAsia="zh-CN"/>
        </w:rPr>
      </w:pPr>
    </w:p>
    <w:p w14:paraId="4838C622">
      <w:pPr>
        <w:pStyle w:val="6"/>
        <w:tabs>
          <w:tab w:val="left" w:pos="312"/>
        </w:tabs>
        <w:spacing w:before="0" w:line="300" w:lineRule="exact"/>
        <w:ind w:left="710" w:right="430"/>
        <w:rPr>
          <w:rFonts w:asciiTheme="minorEastAsia" w:hAnsiTheme="minorEastAsia" w:eastAsiaTheme="minorEastAsia" w:cstheme="minorEastAsia"/>
          <w:color w:val="auto"/>
          <w:spacing w:val="11"/>
          <w:sz w:val="21"/>
          <w:szCs w:val="21"/>
          <w:highlight w:val="none"/>
          <w:lang w:eastAsia="zh-CN"/>
        </w:rPr>
      </w:pPr>
    </w:p>
    <w:p w14:paraId="42D8CC77">
      <w:pPr>
        <w:pStyle w:val="6"/>
        <w:tabs>
          <w:tab w:val="left" w:pos="312"/>
        </w:tabs>
        <w:spacing w:before="134" w:line="325" w:lineRule="auto"/>
        <w:ind w:right="430"/>
        <w:jc w:val="center"/>
        <w:rPr>
          <w:b/>
          <w:bCs/>
          <w:color w:val="auto"/>
          <w:spacing w:val="11"/>
          <w:sz w:val="28"/>
          <w:szCs w:val="28"/>
          <w:highlight w:val="none"/>
          <w:lang w:eastAsia="zh-CN"/>
        </w:rPr>
      </w:pPr>
      <w:r>
        <w:rPr>
          <w:rFonts w:hint="eastAsia"/>
          <w:b/>
          <w:bCs/>
          <w:color w:val="auto"/>
          <w:spacing w:val="11"/>
          <w:sz w:val="28"/>
          <w:szCs w:val="28"/>
          <w:highlight w:val="none"/>
          <w:lang w:eastAsia="zh-CN"/>
        </w:rPr>
        <w:t>中山市第二人民医院饭堂膳食供应服务月度考核表</w:t>
      </w:r>
    </w:p>
    <w:tbl>
      <w:tblPr>
        <w:tblStyle w:val="12"/>
        <w:tblW w:w="9176" w:type="dxa"/>
        <w:tblInd w:w="97" w:type="dxa"/>
        <w:tblLayout w:type="fixed"/>
        <w:tblCellMar>
          <w:top w:w="0" w:type="dxa"/>
          <w:left w:w="108" w:type="dxa"/>
          <w:bottom w:w="0" w:type="dxa"/>
          <w:right w:w="108" w:type="dxa"/>
        </w:tblCellMar>
      </w:tblPr>
      <w:tblGrid>
        <w:gridCol w:w="887"/>
        <w:gridCol w:w="3912"/>
        <w:gridCol w:w="2016"/>
        <w:gridCol w:w="851"/>
        <w:gridCol w:w="709"/>
        <w:gridCol w:w="801"/>
      </w:tblGrid>
      <w:tr w14:paraId="434E2609">
        <w:tblPrEx>
          <w:tblCellMar>
            <w:top w:w="0" w:type="dxa"/>
            <w:left w:w="108" w:type="dxa"/>
            <w:bottom w:w="0" w:type="dxa"/>
            <w:right w:w="108" w:type="dxa"/>
          </w:tblCellMar>
        </w:tblPrEx>
        <w:trPr>
          <w:trHeight w:val="480" w:hRule="atLeast"/>
        </w:trPr>
        <w:tc>
          <w:tcPr>
            <w:tcW w:w="887" w:type="dxa"/>
            <w:tcBorders>
              <w:top w:val="single" w:color="auto" w:sz="4" w:space="0"/>
              <w:left w:val="single" w:color="auto" w:sz="4" w:space="0"/>
              <w:bottom w:val="single" w:color="auto" w:sz="4" w:space="0"/>
              <w:right w:val="single" w:color="auto" w:sz="4" w:space="0"/>
            </w:tcBorders>
            <w:noWrap w:val="0"/>
            <w:vAlign w:val="center"/>
          </w:tcPr>
          <w:p w14:paraId="486477F7">
            <w:pPr>
              <w:kinsoku/>
              <w:autoSpaceDE/>
              <w:autoSpaceDN/>
              <w:adjustRightInd/>
              <w:snapToGrid/>
              <w:jc w:val="center"/>
              <w:textAlignment w:val="auto"/>
              <w:rPr>
                <w:rFonts w:ascii="黑体" w:hAnsi="黑体" w:eastAsia="黑体" w:cs="宋体"/>
                <w:b/>
                <w:bCs/>
                <w:snapToGrid/>
                <w:color w:val="auto"/>
                <w:sz w:val="18"/>
                <w:szCs w:val="18"/>
                <w:highlight w:val="none"/>
                <w:lang w:eastAsia="zh-CN"/>
              </w:rPr>
            </w:pPr>
            <w:r>
              <w:rPr>
                <w:rFonts w:hint="eastAsia" w:ascii="黑体" w:hAnsi="黑体" w:eastAsia="黑体" w:cs="宋体"/>
                <w:b/>
                <w:bCs/>
                <w:snapToGrid/>
                <w:color w:val="auto"/>
                <w:sz w:val="18"/>
                <w:szCs w:val="18"/>
                <w:highlight w:val="none"/>
                <w:lang w:eastAsia="zh-CN"/>
              </w:rPr>
              <w:t>项  目</w:t>
            </w:r>
          </w:p>
        </w:tc>
        <w:tc>
          <w:tcPr>
            <w:tcW w:w="3912" w:type="dxa"/>
            <w:tcBorders>
              <w:top w:val="single" w:color="auto" w:sz="4" w:space="0"/>
              <w:left w:val="nil"/>
              <w:bottom w:val="single" w:color="auto" w:sz="4" w:space="0"/>
              <w:right w:val="single" w:color="auto" w:sz="4" w:space="0"/>
            </w:tcBorders>
            <w:noWrap w:val="0"/>
            <w:vAlign w:val="center"/>
          </w:tcPr>
          <w:p w14:paraId="5951704F">
            <w:pPr>
              <w:kinsoku/>
              <w:autoSpaceDE/>
              <w:autoSpaceDN/>
              <w:adjustRightInd/>
              <w:snapToGrid/>
              <w:jc w:val="center"/>
              <w:textAlignment w:val="auto"/>
              <w:rPr>
                <w:rFonts w:ascii="黑体" w:hAnsi="黑体" w:eastAsia="黑体" w:cs="宋体"/>
                <w:b/>
                <w:bCs/>
                <w:snapToGrid/>
                <w:color w:val="auto"/>
                <w:sz w:val="18"/>
                <w:szCs w:val="18"/>
                <w:highlight w:val="none"/>
                <w:lang w:eastAsia="zh-CN"/>
              </w:rPr>
            </w:pPr>
            <w:r>
              <w:rPr>
                <w:rFonts w:hint="eastAsia" w:ascii="黑体" w:hAnsi="黑体" w:eastAsia="黑体" w:cs="宋体"/>
                <w:b/>
                <w:bCs/>
                <w:snapToGrid/>
                <w:color w:val="auto"/>
                <w:sz w:val="18"/>
                <w:szCs w:val="18"/>
                <w:highlight w:val="none"/>
                <w:lang w:eastAsia="zh-CN"/>
              </w:rPr>
              <w:t>检查具体内容</w:t>
            </w:r>
          </w:p>
        </w:tc>
        <w:tc>
          <w:tcPr>
            <w:tcW w:w="2016" w:type="dxa"/>
            <w:tcBorders>
              <w:top w:val="single" w:color="auto" w:sz="4" w:space="0"/>
              <w:left w:val="nil"/>
              <w:bottom w:val="single" w:color="auto" w:sz="4" w:space="0"/>
              <w:right w:val="single" w:color="auto" w:sz="4" w:space="0"/>
            </w:tcBorders>
            <w:noWrap w:val="0"/>
            <w:vAlign w:val="center"/>
          </w:tcPr>
          <w:p w14:paraId="261AD5DC">
            <w:pPr>
              <w:kinsoku/>
              <w:autoSpaceDE/>
              <w:autoSpaceDN/>
              <w:adjustRightInd/>
              <w:snapToGrid/>
              <w:jc w:val="center"/>
              <w:textAlignment w:val="auto"/>
              <w:rPr>
                <w:rFonts w:ascii="黑体" w:hAnsi="黑体" w:eastAsia="黑体" w:cs="宋体"/>
                <w:b/>
                <w:bCs/>
                <w:snapToGrid/>
                <w:color w:val="auto"/>
                <w:sz w:val="18"/>
                <w:szCs w:val="18"/>
                <w:highlight w:val="none"/>
                <w:lang w:eastAsia="zh-CN"/>
              </w:rPr>
            </w:pPr>
            <w:r>
              <w:rPr>
                <w:rFonts w:hint="eastAsia" w:ascii="黑体" w:hAnsi="黑体" w:eastAsia="黑体" w:cs="宋体"/>
                <w:b/>
                <w:bCs/>
                <w:snapToGrid/>
                <w:color w:val="auto"/>
                <w:sz w:val="18"/>
                <w:szCs w:val="18"/>
                <w:highlight w:val="none"/>
                <w:lang w:eastAsia="zh-CN"/>
              </w:rPr>
              <w:t>评分标准</w:t>
            </w:r>
          </w:p>
        </w:tc>
        <w:tc>
          <w:tcPr>
            <w:tcW w:w="851" w:type="dxa"/>
            <w:tcBorders>
              <w:top w:val="single" w:color="auto" w:sz="4" w:space="0"/>
              <w:left w:val="nil"/>
              <w:bottom w:val="single" w:color="auto" w:sz="4" w:space="0"/>
              <w:right w:val="single" w:color="auto" w:sz="4" w:space="0"/>
            </w:tcBorders>
            <w:noWrap w:val="0"/>
            <w:vAlign w:val="center"/>
          </w:tcPr>
          <w:p w14:paraId="70260796">
            <w:pPr>
              <w:kinsoku/>
              <w:autoSpaceDE/>
              <w:autoSpaceDN/>
              <w:adjustRightInd/>
              <w:snapToGrid/>
              <w:jc w:val="center"/>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分值</w:t>
            </w:r>
          </w:p>
        </w:tc>
        <w:tc>
          <w:tcPr>
            <w:tcW w:w="709" w:type="dxa"/>
            <w:tcBorders>
              <w:top w:val="single" w:color="auto" w:sz="4" w:space="0"/>
              <w:left w:val="nil"/>
              <w:bottom w:val="single" w:color="auto" w:sz="4" w:space="0"/>
              <w:right w:val="single" w:color="auto" w:sz="4" w:space="0"/>
            </w:tcBorders>
            <w:noWrap w:val="0"/>
            <w:vAlign w:val="center"/>
          </w:tcPr>
          <w:p w14:paraId="74C32FC6">
            <w:pPr>
              <w:kinsoku/>
              <w:autoSpaceDE/>
              <w:autoSpaceDN/>
              <w:adjustRightInd/>
              <w:snapToGrid/>
              <w:jc w:val="center"/>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得分</w:t>
            </w:r>
          </w:p>
        </w:tc>
        <w:tc>
          <w:tcPr>
            <w:tcW w:w="801" w:type="dxa"/>
            <w:tcBorders>
              <w:top w:val="single" w:color="auto" w:sz="4" w:space="0"/>
              <w:left w:val="nil"/>
              <w:bottom w:val="single" w:color="auto" w:sz="4" w:space="0"/>
              <w:right w:val="single" w:color="auto" w:sz="4" w:space="0"/>
            </w:tcBorders>
            <w:noWrap/>
            <w:vAlign w:val="center"/>
          </w:tcPr>
          <w:p w14:paraId="623BF337">
            <w:pPr>
              <w:kinsoku/>
              <w:autoSpaceDE/>
              <w:autoSpaceDN/>
              <w:adjustRightInd/>
              <w:snapToGrid/>
              <w:jc w:val="center"/>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备注</w:t>
            </w:r>
          </w:p>
        </w:tc>
      </w:tr>
      <w:tr w14:paraId="5B3BF223">
        <w:tblPrEx>
          <w:tblCellMar>
            <w:top w:w="0" w:type="dxa"/>
            <w:left w:w="108" w:type="dxa"/>
            <w:bottom w:w="0" w:type="dxa"/>
            <w:right w:w="108" w:type="dxa"/>
          </w:tblCellMar>
        </w:tblPrEx>
        <w:trPr>
          <w:trHeight w:val="1600" w:hRule="atLeast"/>
        </w:trPr>
        <w:tc>
          <w:tcPr>
            <w:tcW w:w="887" w:type="dxa"/>
            <w:tcBorders>
              <w:top w:val="nil"/>
              <w:left w:val="single" w:color="auto" w:sz="4" w:space="0"/>
              <w:bottom w:val="single" w:color="auto" w:sz="4" w:space="0"/>
              <w:right w:val="single" w:color="auto" w:sz="4" w:space="0"/>
            </w:tcBorders>
            <w:noWrap w:val="0"/>
            <w:vAlign w:val="center"/>
          </w:tcPr>
          <w:p w14:paraId="31C49652">
            <w:pPr>
              <w:kinsoku/>
              <w:autoSpaceDE/>
              <w:autoSpaceDN/>
              <w:adjustRightInd/>
              <w:snapToGrid/>
              <w:jc w:val="center"/>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1</w:t>
            </w:r>
          </w:p>
        </w:tc>
        <w:tc>
          <w:tcPr>
            <w:tcW w:w="3912" w:type="dxa"/>
            <w:tcBorders>
              <w:top w:val="nil"/>
              <w:left w:val="nil"/>
              <w:bottom w:val="single" w:color="auto" w:sz="4" w:space="0"/>
              <w:right w:val="single" w:color="auto" w:sz="4" w:space="0"/>
            </w:tcBorders>
            <w:noWrap w:val="0"/>
            <w:vAlign w:val="center"/>
          </w:tcPr>
          <w:p w14:paraId="651581CA">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有无完善的饭堂膳食服务与管理方案与流程（如：食物中毒应急救援预案、火灾应急救援预案、食堂服务管理制度、食堂库房管理制度、食品采购查验管理制度、食堂场所环境卫生管理制度、设施设备卫生及清洗消毒管理制度、食堂从业人员卫生管理制度、食堂加工操作管理制度等）。</w:t>
            </w:r>
          </w:p>
        </w:tc>
        <w:tc>
          <w:tcPr>
            <w:tcW w:w="2016" w:type="dxa"/>
            <w:tcBorders>
              <w:top w:val="nil"/>
              <w:left w:val="nil"/>
              <w:bottom w:val="single" w:color="auto" w:sz="4" w:space="0"/>
              <w:right w:val="single" w:color="auto" w:sz="4" w:space="0"/>
            </w:tcBorders>
            <w:noWrap w:val="0"/>
            <w:vAlign w:val="center"/>
          </w:tcPr>
          <w:p w14:paraId="77E1CE36">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每缺1项扣1分，并责令限期10天完成整改。到期不整改扣2分/项</w:t>
            </w:r>
          </w:p>
        </w:tc>
        <w:tc>
          <w:tcPr>
            <w:tcW w:w="851" w:type="dxa"/>
            <w:tcBorders>
              <w:top w:val="nil"/>
              <w:left w:val="nil"/>
              <w:bottom w:val="single" w:color="auto" w:sz="4" w:space="0"/>
              <w:right w:val="single" w:color="auto" w:sz="4" w:space="0"/>
            </w:tcBorders>
            <w:noWrap w:val="0"/>
            <w:vAlign w:val="center"/>
          </w:tcPr>
          <w:p w14:paraId="4E689FF2">
            <w:pPr>
              <w:kinsoku/>
              <w:autoSpaceDE/>
              <w:autoSpaceDN/>
              <w:adjustRightInd/>
              <w:snapToGrid/>
              <w:jc w:val="center"/>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4</w:t>
            </w:r>
          </w:p>
        </w:tc>
        <w:tc>
          <w:tcPr>
            <w:tcW w:w="709" w:type="dxa"/>
            <w:tcBorders>
              <w:top w:val="nil"/>
              <w:left w:val="nil"/>
              <w:bottom w:val="single" w:color="auto" w:sz="4" w:space="0"/>
              <w:right w:val="single" w:color="auto" w:sz="4" w:space="0"/>
            </w:tcBorders>
            <w:noWrap w:val="0"/>
            <w:vAlign w:val="center"/>
          </w:tcPr>
          <w:p w14:paraId="2E7E16E6">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c>
          <w:tcPr>
            <w:tcW w:w="801" w:type="dxa"/>
            <w:tcBorders>
              <w:top w:val="nil"/>
              <w:left w:val="nil"/>
              <w:bottom w:val="single" w:color="auto" w:sz="4" w:space="0"/>
              <w:right w:val="single" w:color="auto" w:sz="4" w:space="0"/>
            </w:tcBorders>
            <w:noWrap/>
            <w:vAlign w:val="center"/>
          </w:tcPr>
          <w:p w14:paraId="0B03FDD2">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r>
      <w:tr w14:paraId="020BACD4">
        <w:tblPrEx>
          <w:tblCellMar>
            <w:top w:w="0" w:type="dxa"/>
            <w:left w:w="108" w:type="dxa"/>
            <w:bottom w:w="0" w:type="dxa"/>
            <w:right w:w="108" w:type="dxa"/>
          </w:tblCellMar>
        </w:tblPrEx>
        <w:trPr>
          <w:trHeight w:val="1061" w:hRule="atLeast"/>
        </w:trPr>
        <w:tc>
          <w:tcPr>
            <w:tcW w:w="887" w:type="dxa"/>
            <w:tcBorders>
              <w:top w:val="nil"/>
              <w:left w:val="single" w:color="auto" w:sz="4" w:space="0"/>
              <w:bottom w:val="single" w:color="auto" w:sz="4" w:space="0"/>
              <w:right w:val="single" w:color="auto" w:sz="4" w:space="0"/>
            </w:tcBorders>
            <w:noWrap w:val="0"/>
            <w:vAlign w:val="center"/>
          </w:tcPr>
          <w:p w14:paraId="368A9212">
            <w:pPr>
              <w:kinsoku/>
              <w:autoSpaceDE/>
              <w:autoSpaceDN/>
              <w:adjustRightInd/>
              <w:snapToGrid/>
              <w:jc w:val="center"/>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2</w:t>
            </w:r>
          </w:p>
        </w:tc>
        <w:tc>
          <w:tcPr>
            <w:tcW w:w="3912" w:type="dxa"/>
            <w:tcBorders>
              <w:top w:val="nil"/>
              <w:left w:val="nil"/>
              <w:bottom w:val="single" w:color="auto" w:sz="4" w:space="0"/>
              <w:right w:val="single" w:color="auto" w:sz="4" w:space="0"/>
            </w:tcBorders>
            <w:noWrap w:val="0"/>
            <w:vAlign w:val="center"/>
          </w:tcPr>
          <w:p w14:paraId="16498380">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人员配备不少于9人，食品安全管理人员1人，公共营养师1人，中式烹饪师至少3人，面点师1人。所有人员须有效期内的食品从业人员健康证明。</w:t>
            </w:r>
          </w:p>
        </w:tc>
        <w:tc>
          <w:tcPr>
            <w:tcW w:w="2016" w:type="dxa"/>
            <w:tcBorders>
              <w:top w:val="nil"/>
              <w:left w:val="nil"/>
              <w:bottom w:val="single" w:color="auto" w:sz="4" w:space="0"/>
              <w:right w:val="single" w:color="auto" w:sz="4" w:space="0"/>
            </w:tcBorders>
            <w:noWrap w:val="0"/>
            <w:vAlign w:val="center"/>
          </w:tcPr>
          <w:p w14:paraId="3C2317DD">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每缺1人扣2分，并责令限期10天完成整改。</w:t>
            </w:r>
          </w:p>
        </w:tc>
        <w:tc>
          <w:tcPr>
            <w:tcW w:w="851" w:type="dxa"/>
            <w:tcBorders>
              <w:top w:val="nil"/>
              <w:left w:val="nil"/>
              <w:bottom w:val="single" w:color="auto" w:sz="4" w:space="0"/>
              <w:right w:val="single" w:color="auto" w:sz="4" w:space="0"/>
            </w:tcBorders>
            <w:noWrap w:val="0"/>
            <w:vAlign w:val="center"/>
          </w:tcPr>
          <w:p w14:paraId="0F7D2AE5">
            <w:pPr>
              <w:kinsoku/>
              <w:autoSpaceDE/>
              <w:autoSpaceDN/>
              <w:adjustRightInd/>
              <w:snapToGrid/>
              <w:jc w:val="center"/>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6</w:t>
            </w:r>
          </w:p>
        </w:tc>
        <w:tc>
          <w:tcPr>
            <w:tcW w:w="709" w:type="dxa"/>
            <w:tcBorders>
              <w:top w:val="nil"/>
              <w:left w:val="nil"/>
              <w:bottom w:val="single" w:color="auto" w:sz="4" w:space="0"/>
              <w:right w:val="single" w:color="auto" w:sz="4" w:space="0"/>
            </w:tcBorders>
            <w:noWrap w:val="0"/>
            <w:vAlign w:val="center"/>
          </w:tcPr>
          <w:p w14:paraId="4F1FCA2D">
            <w:pPr>
              <w:kinsoku/>
              <w:autoSpaceDE/>
              <w:autoSpaceDN/>
              <w:adjustRightInd/>
              <w:snapToGrid/>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　</w:t>
            </w:r>
          </w:p>
        </w:tc>
        <w:tc>
          <w:tcPr>
            <w:tcW w:w="801" w:type="dxa"/>
            <w:tcBorders>
              <w:top w:val="nil"/>
              <w:left w:val="nil"/>
              <w:bottom w:val="single" w:color="auto" w:sz="4" w:space="0"/>
              <w:right w:val="single" w:color="auto" w:sz="4" w:space="0"/>
            </w:tcBorders>
            <w:noWrap/>
            <w:vAlign w:val="center"/>
          </w:tcPr>
          <w:p w14:paraId="41078A87">
            <w:pPr>
              <w:kinsoku/>
              <w:autoSpaceDE/>
              <w:autoSpaceDN/>
              <w:adjustRightInd/>
              <w:snapToGrid/>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　</w:t>
            </w:r>
          </w:p>
        </w:tc>
      </w:tr>
      <w:tr w14:paraId="2310C6CD">
        <w:tblPrEx>
          <w:tblCellMar>
            <w:top w:w="0" w:type="dxa"/>
            <w:left w:w="108" w:type="dxa"/>
            <w:bottom w:w="0" w:type="dxa"/>
            <w:right w:w="108" w:type="dxa"/>
          </w:tblCellMar>
        </w:tblPrEx>
        <w:trPr>
          <w:trHeight w:val="1079" w:hRule="atLeast"/>
        </w:trPr>
        <w:tc>
          <w:tcPr>
            <w:tcW w:w="887" w:type="dxa"/>
            <w:tcBorders>
              <w:top w:val="nil"/>
              <w:left w:val="single" w:color="auto" w:sz="4" w:space="0"/>
              <w:bottom w:val="single" w:color="auto" w:sz="4" w:space="0"/>
              <w:right w:val="single" w:color="auto" w:sz="4" w:space="0"/>
            </w:tcBorders>
            <w:noWrap w:val="0"/>
            <w:vAlign w:val="center"/>
          </w:tcPr>
          <w:p w14:paraId="75B561AA">
            <w:pPr>
              <w:kinsoku/>
              <w:autoSpaceDE/>
              <w:autoSpaceDN/>
              <w:adjustRightInd/>
              <w:snapToGrid/>
              <w:jc w:val="center"/>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3</w:t>
            </w:r>
          </w:p>
        </w:tc>
        <w:tc>
          <w:tcPr>
            <w:tcW w:w="3912" w:type="dxa"/>
            <w:tcBorders>
              <w:top w:val="nil"/>
              <w:left w:val="nil"/>
              <w:bottom w:val="single" w:color="auto" w:sz="4" w:space="0"/>
              <w:right w:val="single" w:color="auto" w:sz="4" w:space="0"/>
            </w:tcBorders>
            <w:noWrap w:val="0"/>
            <w:vAlign w:val="center"/>
          </w:tcPr>
          <w:p w14:paraId="107B49D5">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每月提供完整的月度膳食服务方案；方案提交时间是当月最后一周提交下月月度膳食服务方案给总务部审核并严格按服务方案执行。</w:t>
            </w:r>
          </w:p>
        </w:tc>
        <w:tc>
          <w:tcPr>
            <w:tcW w:w="2016" w:type="dxa"/>
            <w:tcBorders>
              <w:top w:val="nil"/>
              <w:left w:val="nil"/>
              <w:bottom w:val="single" w:color="auto" w:sz="4" w:space="0"/>
              <w:right w:val="single" w:color="auto" w:sz="4" w:space="0"/>
            </w:tcBorders>
            <w:noWrap w:val="0"/>
            <w:vAlign w:val="center"/>
          </w:tcPr>
          <w:p w14:paraId="28B80839">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无提交月度膳食服务方案扣</w:t>
            </w:r>
            <w:r>
              <w:rPr>
                <w:rFonts w:hint="eastAsia" w:ascii="宋体" w:hAnsi="宋体" w:eastAsia="宋体" w:cs="宋体"/>
                <w:snapToGrid/>
                <w:color w:val="auto"/>
                <w:sz w:val="18"/>
                <w:szCs w:val="18"/>
                <w:highlight w:val="none"/>
                <w:lang w:val="en-US" w:eastAsia="zh-CN"/>
              </w:rPr>
              <w:t>4</w:t>
            </w:r>
            <w:r>
              <w:rPr>
                <w:rFonts w:hint="eastAsia" w:ascii="宋体" w:hAnsi="宋体" w:eastAsia="宋体" w:cs="宋体"/>
                <w:snapToGrid/>
                <w:color w:val="auto"/>
                <w:sz w:val="18"/>
                <w:szCs w:val="18"/>
                <w:highlight w:val="none"/>
                <w:lang w:eastAsia="zh-CN"/>
              </w:rPr>
              <w:t>分；膳食服务方案按优（</w:t>
            </w:r>
            <w:r>
              <w:rPr>
                <w:rFonts w:hint="eastAsia" w:ascii="宋体" w:hAnsi="宋体" w:eastAsia="宋体" w:cs="宋体"/>
                <w:snapToGrid/>
                <w:color w:val="auto"/>
                <w:sz w:val="18"/>
                <w:szCs w:val="18"/>
                <w:highlight w:val="none"/>
                <w:lang w:val="en-US" w:eastAsia="zh-CN"/>
              </w:rPr>
              <w:t>4</w:t>
            </w:r>
            <w:r>
              <w:rPr>
                <w:rFonts w:hint="eastAsia" w:ascii="宋体" w:hAnsi="宋体" w:eastAsia="宋体" w:cs="宋体"/>
                <w:snapToGrid/>
                <w:color w:val="auto"/>
                <w:sz w:val="18"/>
                <w:szCs w:val="18"/>
                <w:highlight w:val="none"/>
                <w:lang w:eastAsia="zh-CN"/>
              </w:rPr>
              <w:t>分）、良（</w:t>
            </w:r>
            <w:r>
              <w:rPr>
                <w:rFonts w:hint="eastAsia" w:ascii="宋体" w:hAnsi="宋体" w:eastAsia="宋体" w:cs="宋体"/>
                <w:snapToGrid/>
                <w:color w:val="auto"/>
                <w:sz w:val="18"/>
                <w:szCs w:val="18"/>
                <w:highlight w:val="none"/>
                <w:lang w:val="en-US" w:eastAsia="zh-CN"/>
              </w:rPr>
              <w:t>2</w:t>
            </w:r>
            <w:r>
              <w:rPr>
                <w:rFonts w:hint="eastAsia" w:ascii="宋体" w:hAnsi="宋体" w:eastAsia="宋体" w:cs="宋体"/>
                <w:snapToGrid/>
                <w:color w:val="auto"/>
                <w:sz w:val="18"/>
                <w:szCs w:val="18"/>
                <w:highlight w:val="none"/>
                <w:lang w:eastAsia="zh-CN"/>
              </w:rPr>
              <w:t>分）、差（0分）</w:t>
            </w:r>
          </w:p>
        </w:tc>
        <w:tc>
          <w:tcPr>
            <w:tcW w:w="851" w:type="dxa"/>
            <w:tcBorders>
              <w:top w:val="nil"/>
              <w:left w:val="nil"/>
              <w:bottom w:val="single" w:color="auto" w:sz="4" w:space="0"/>
              <w:right w:val="single" w:color="auto" w:sz="4" w:space="0"/>
            </w:tcBorders>
            <w:noWrap w:val="0"/>
            <w:vAlign w:val="center"/>
          </w:tcPr>
          <w:p w14:paraId="6E61A995">
            <w:pPr>
              <w:kinsoku/>
              <w:autoSpaceDE/>
              <w:autoSpaceDN/>
              <w:adjustRightInd/>
              <w:snapToGrid/>
              <w:jc w:val="center"/>
              <w:textAlignment w:val="auto"/>
              <w:rPr>
                <w:rFonts w:hint="default" w:ascii="宋体" w:hAnsi="宋体" w:eastAsia="宋体" w:cs="宋体"/>
                <w:b/>
                <w:bCs/>
                <w:snapToGrid/>
                <w:color w:val="auto"/>
                <w:sz w:val="18"/>
                <w:szCs w:val="18"/>
                <w:highlight w:val="none"/>
                <w:lang w:val="en-US" w:eastAsia="zh-CN"/>
              </w:rPr>
            </w:pPr>
            <w:r>
              <w:rPr>
                <w:rFonts w:hint="eastAsia" w:ascii="宋体" w:hAnsi="宋体" w:eastAsia="宋体" w:cs="宋体"/>
                <w:b/>
                <w:bCs/>
                <w:snapToGrid/>
                <w:color w:val="auto"/>
                <w:sz w:val="18"/>
                <w:szCs w:val="18"/>
                <w:highlight w:val="none"/>
                <w:lang w:val="en-US" w:eastAsia="zh-CN"/>
              </w:rPr>
              <w:t>4</w:t>
            </w:r>
          </w:p>
        </w:tc>
        <w:tc>
          <w:tcPr>
            <w:tcW w:w="709" w:type="dxa"/>
            <w:tcBorders>
              <w:top w:val="nil"/>
              <w:left w:val="nil"/>
              <w:bottom w:val="single" w:color="auto" w:sz="4" w:space="0"/>
              <w:right w:val="single" w:color="auto" w:sz="4" w:space="0"/>
            </w:tcBorders>
            <w:noWrap w:val="0"/>
            <w:vAlign w:val="center"/>
          </w:tcPr>
          <w:p w14:paraId="4152D454">
            <w:pPr>
              <w:kinsoku/>
              <w:autoSpaceDE/>
              <w:autoSpaceDN/>
              <w:adjustRightInd/>
              <w:snapToGrid/>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　</w:t>
            </w:r>
          </w:p>
        </w:tc>
        <w:tc>
          <w:tcPr>
            <w:tcW w:w="801" w:type="dxa"/>
            <w:tcBorders>
              <w:top w:val="nil"/>
              <w:left w:val="nil"/>
              <w:bottom w:val="single" w:color="auto" w:sz="4" w:space="0"/>
              <w:right w:val="single" w:color="auto" w:sz="4" w:space="0"/>
            </w:tcBorders>
            <w:noWrap/>
            <w:vAlign w:val="center"/>
          </w:tcPr>
          <w:p w14:paraId="35837C3C">
            <w:pPr>
              <w:kinsoku/>
              <w:autoSpaceDE/>
              <w:autoSpaceDN/>
              <w:adjustRightInd/>
              <w:snapToGrid/>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　</w:t>
            </w:r>
          </w:p>
        </w:tc>
      </w:tr>
      <w:tr w14:paraId="56F7EC8C">
        <w:tblPrEx>
          <w:tblCellMar>
            <w:top w:w="0" w:type="dxa"/>
            <w:left w:w="108" w:type="dxa"/>
            <w:bottom w:w="0" w:type="dxa"/>
            <w:right w:w="108" w:type="dxa"/>
          </w:tblCellMar>
        </w:tblPrEx>
        <w:trPr>
          <w:trHeight w:val="1458" w:hRule="atLeast"/>
        </w:trPr>
        <w:tc>
          <w:tcPr>
            <w:tcW w:w="887" w:type="dxa"/>
            <w:tcBorders>
              <w:top w:val="nil"/>
              <w:left w:val="single" w:color="auto" w:sz="4" w:space="0"/>
              <w:bottom w:val="single" w:color="auto" w:sz="4" w:space="0"/>
              <w:right w:val="single" w:color="auto" w:sz="4" w:space="0"/>
            </w:tcBorders>
            <w:noWrap w:val="0"/>
            <w:vAlign w:val="center"/>
          </w:tcPr>
          <w:p w14:paraId="5F30AB88">
            <w:pPr>
              <w:kinsoku/>
              <w:autoSpaceDE/>
              <w:autoSpaceDN/>
              <w:adjustRightInd/>
              <w:snapToGrid/>
              <w:jc w:val="center"/>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4</w:t>
            </w:r>
          </w:p>
        </w:tc>
        <w:tc>
          <w:tcPr>
            <w:tcW w:w="3912" w:type="dxa"/>
            <w:tcBorders>
              <w:top w:val="nil"/>
              <w:left w:val="nil"/>
              <w:bottom w:val="single" w:color="auto" w:sz="4" w:space="0"/>
              <w:right w:val="single" w:color="auto" w:sz="4" w:space="0"/>
            </w:tcBorders>
            <w:noWrap w:val="0"/>
            <w:vAlign w:val="center"/>
          </w:tcPr>
          <w:p w14:paraId="6008B195">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卫生检查不符合要求，包括：所涉区域的地面、墙面、工作台、清洗槽、操作台及灶台、售饭台、桌椅、炉具、抽油烟机、货柜、各类电器、冰柜、冰箱及电插座等的干净、无污渍和油渍.小卖部四周环境卫生、积水、落叶果清理；厨余垃圾暂存箱及四周清洁等。</w:t>
            </w:r>
          </w:p>
        </w:tc>
        <w:tc>
          <w:tcPr>
            <w:tcW w:w="2016" w:type="dxa"/>
            <w:tcBorders>
              <w:top w:val="nil"/>
              <w:left w:val="nil"/>
              <w:bottom w:val="single" w:color="auto" w:sz="4" w:space="0"/>
              <w:right w:val="single" w:color="auto" w:sz="4" w:space="0"/>
            </w:tcBorders>
            <w:noWrap w:val="0"/>
            <w:vAlign w:val="center"/>
          </w:tcPr>
          <w:p w14:paraId="153071B1">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发现不到位，每次扣</w:t>
            </w:r>
            <w:r>
              <w:rPr>
                <w:rFonts w:hint="eastAsia" w:ascii="宋体" w:hAnsi="宋体" w:eastAsia="宋体" w:cs="宋体"/>
                <w:snapToGrid/>
                <w:color w:val="auto"/>
                <w:sz w:val="18"/>
                <w:szCs w:val="18"/>
                <w:highlight w:val="none"/>
                <w:lang w:val="en-US" w:eastAsia="zh-CN"/>
              </w:rPr>
              <w:t>1</w:t>
            </w:r>
            <w:r>
              <w:rPr>
                <w:rFonts w:hint="eastAsia" w:ascii="宋体" w:hAnsi="宋体" w:eastAsia="宋体" w:cs="宋体"/>
                <w:snapToGrid/>
                <w:color w:val="auto"/>
                <w:sz w:val="18"/>
                <w:szCs w:val="18"/>
                <w:highlight w:val="none"/>
                <w:lang w:eastAsia="zh-CN"/>
              </w:rPr>
              <w:t>分</w:t>
            </w:r>
          </w:p>
        </w:tc>
        <w:tc>
          <w:tcPr>
            <w:tcW w:w="851" w:type="dxa"/>
            <w:tcBorders>
              <w:top w:val="nil"/>
              <w:left w:val="nil"/>
              <w:bottom w:val="single" w:color="auto" w:sz="4" w:space="0"/>
              <w:right w:val="single" w:color="auto" w:sz="4" w:space="0"/>
            </w:tcBorders>
            <w:noWrap w:val="0"/>
            <w:vAlign w:val="center"/>
          </w:tcPr>
          <w:p w14:paraId="378B7F99">
            <w:pPr>
              <w:kinsoku/>
              <w:autoSpaceDE/>
              <w:autoSpaceDN/>
              <w:adjustRightInd/>
              <w:snapToGrid/>
              <w:jc w:val="center"/>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val="en-US" w:eastAsia="zh-CN"/>
              </w:rPr>
              <w:t>8</w:t>
            </w:r>
          </w:p>
        </w:tc>
        <w:tc>
          <w:tcPr>
            <w:tcW w:w="709" w:type="dxa"/>
            <w:tcBorders>
              <w:top w:val="nil"/>
              <w:left w:val="nil"/>
              <w:bottom w:val="single" w:color="auto" w:sz="4" w:space="0"/>
              <w:right w:val="single" w:color="auto" w:sz="4" w:space="0"/>
            </w:tcBorders>
            <w:noWrap w:val="0"/>
            <w:vAlign w:val="center"/>
          </w:tcPr>
          <w:p w14:paraId="73E13E2C">
            <w:pPr>
              <w:kinsoku/>
              <w:autoSpaceDE/>
              <w:autoSpaceDN/>
              <w:adjustRightInd/>
              <w:snapToGrid/>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　</w:t>
            </w:r>
          </w:p>
        </w:tc>
        <w:tc>
          <w:tcPr>
            <w:tcW w:w="801" w:type="dxa"/>
            <w:tcBorders>
              <w:top w:val="nil"/>
              <w:left w:val="nil"/>
              <w:bottom w:val="single" w:color="auto" w:sz="4" w:space="0"/>
              <w:right w:val="single" w:color="auto" w:sz="4" w:space="0"/>
            </w:tcBorders>
            <w:noWrap/>
            <w:vAlign w:val="center"/>
          </w:tcPr>
          <w:p w14:paraId="34B7F8BD">
            <w:pPr>
              <w:kinsoku/>
              <w:autoSpaceDE/>
              <w:autoSpaceDN/>
              <w:adjustRightInd/>
              <w:snapToGrid/>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　</w:t>
            </w:r>
          </w:p>
        </w:tc>
      </w:tr>
      <w:tr w14:paraId="423BE44C">
        <w:tblPrEx>
          <w:tblCellMar>
            <w:top w:w="0" w:type="dxa"/>
            <w:left w:w="108" w:type="dxa"/>
            <w:bottom w:w="0" w:type="dxa"/>
            <w:right w:w="108" w:type="dxa"/>
          </w:tblCellMar>
        </w:tblPrEx>
        <w:trPr>
          <w:trHeight w:val="1019" w:hRule="atLeast"/>
        </w:trPr>
        <w:tc>
          <w:tcPr>
            <w:tcW w:w="887" w:type="dxa"/>
            <w:tcBorders>
              <w:top w:val="nil"/>
              <w:left w:val="single" w:color="auto" w:sz="4" w:space="0"/>
              <w:bottom w:val="single" w:color="auto" w:sz="4" w:space="0"/>
              <w:right w:val="single" w:color="auto" w:sz="4" w:space="0"/>
            </w:tcBorders>
            <w:noWrap w:val="0"/>
            <w:vAlign w:val="center"/>
          </w:tcPr>
          <w:p w14:paraId="248878E8">
            <w:pPr>
              <w:kinsoku/>
              <w:autoSpaceDE/>
              <w:autoSpaceDN/>
              <w:adjustRightInd/>
              <w:snapToGrid/>
              <w:jc w:val="center"/>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5</w:t>
            </w:r>
          </w:p>
        </w:tc>
        <w:tc>
          <w:tcPr>
            <w:tcW w:w="3912" w:type="dxa"/>
            <w:tcBorders>
              <w:top w:val="nil"/>
              <w:left w:val="nil"/>
              <w:bottom w:val="single" w:color="auto" w:sz="4" w:space="0"/>
              <w:right w:val="single" w:color="auto" w:sz="4" w:space="0"/>
            </w:tcBorders>
            <w:noWrap w:val="0"/>
            <w:vAlign w:val="center"/>
          </w:tcPr>
          <w:p w14:paraId="22CBF517">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除四害工作检查不到位，要求无蟑螂、苍蝇、老鼠，确保防蝇、防鼠、防尘设备齐全、有效。</w:t>
            </w:r>
          </w:p>
        </w:tc>
        <w:tc>
          <w:tcPr>
            <w:tcW w:w="2016" w:type="dxa"/>
            <w:tcBorders>
              <w:top w:val="nil"/>
              <w:left w:val="nil"/>
              <w:bottom w:val="single" w:color="auto" w:sz="4" w:space="0"/>
              <w:right w:val="single" w:color="auto" w:sz="4" w:space="0"/>
            </w:tcBorders>
            <w:noWrap w:val="0"/>
            <w:vAlign w:val="center"/>
          </w:tcPr>
          <w:p w14:paraId="555BD799">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没有执行日常检查到位，及时通知总务部处理。发现1处扣0.5分。</w:t>
            </w:r>
          </w:p>
        </w:tc>
        <w:tc>
          <w:tcPr>
            <w:tcW w:w="851" w:type="dxa"/>
            <w:tcBorders>
              <w:top w:val="nil"/>
              <w:left w:val="nil"/>
              <w:bottom w:val="single" w:color="auto" w:sz="4" w:space="0"/>
              <w:right w:val="single" w:color="auto" w:sz="4" w:space="0"/>
            </w:tcBorders>
            <w:noWrap w:val="0"/>
            <w:vAlign w:val="center"/>
          </w:tcPr>
          <w:p w14:paraId="4C2B6914">
            <w:pPr>
              <w:kinsoku/>
              <w:autoSpaceDE/>
              <w:autoSpaceDN/>
              <w:adjustRightInd/>
              <w:snapToGrid/>
              <w:jc w:val="center"/>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4</w:t>
            </w:r>
          </w:p>
        </w:tc>
        <w:tc>
          <w:tcPr>
            <w:tcW w:w="709" w:type="dxa"/>
            <w:tcBorders>
              <w:top w:val="nil"/>
              <w:left w:val="nil"/>
              <w:bottom w:val="single" w:color="auto" w:sz="4" w:space="0"/>
              <w:right w:val="single" w:color="auto" w:sz="4" w:space="0"/>
            </w:tcBorders>
            <w:noWrap w:val="0"/>
            <w:vAlign w:val="top"/>
          </w:tcPr>
          <w:p w14:paraId="53544D3D">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c>
          <w:tcPr>
            <w:tcW w:w="801" w:type="dxa"/>
            <w:tcBorders>
              <w:top w:val="nil"/>
              <w:left w:val="nil"/>
              <w:bottom w:val="single" w:color="auto" w:sz="4" w:space="0"/>
              <w:right w:val="single" w:color="auto" w:sz="4" w:space="0"/>
            </w:tcBorders>
            <w:noWrap/>
            <w:vAlign w:val="center"/>
          </w:tcPr>
          <w:p w14:paraId="3C964975">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r>
      <w:tr w14:paraId="5F1D06AF">
        <w:tblPrEx>
          <w:tblCellMar>
            <w:top w:w="0" w:type="dxa"/>
            <w:left w:w="108" w:type="dxa"/>
            <w:bottom w:w="0" w:type="dxa"/>
            <w:right w:w="108" w:type="dxa"/>
          </w:tblCellMar>
        </w:tblPrEx>
        <w:trPr>
          <w:trHeight w:val="1997" w:hRule="atLeast"/>
        </w:trPr>
        <w:tc>
          <w:tcPr>
            <w:tcW w:w="887" w:type="dxa"/>
            <w:tcBorders>
              <w:top w:val="nil"/>
              <w:left w:val="single" w:color="auto" w:sz="4" w:space="0"/>
              <w:bottom w:val="single" w:color="auto" w:sz="4" w:space="0"/>
              <w:right w:val="single" w:color="auto" w:sz="4" w:space="0"/>
            </w:tcBorders>
            <w:noWrap w:val="0"/>
            <w:vAlign w:val="center"/>
          </w:tcPr>
          <w:p w14:paraId="577F84A0">
            <w:pPr>
              <w:kinsoku/>
              <w:autoSpaceDE/>
              <w:autoSpaceDN/>
              <w:adjustRightInd/>
              <w:snapToGrid/>
              <w:jc w:val="center"/>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6</w:t>
            </w:r>
          </w:p>
        </w:tc>
        <w:tc>
          <w:tcPr>
            <w:tcW w:w="3912" w:type="dxa"/>
            <w:tcBorders>
              <w:top w:val="nil"/>
              <w:left w:val="nil"/>
              <w:bottom w:val="single" w:color="auto" w:sz="4" w:space="0"/>
              <w:right w:val="single" w:color="auto" w:sz="4" w:space="0"/>
            </w:tcBorders>
            <w:noWrap w:val="0"/>
            <w:vAlign w:val="center"/>
          </w:tcPr>
          <w:p w14:paraId="68B3654C">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食品来源达到符合要求；所采购的面粉、大米、食用油、肉等主要食品原料必须从正规渠道进货，有国家认证产品合格标志，杜绝购买临期产品；并建立采购台账。蔬菜产品要求从正规渠道进货，做到每批抽样检测，做到新鲜、洁净无污染、无霉变；采购成品与半成品必须达到卫生标准要求，要标有生产日期及保质期限。</w:t>
            </w:r>
          </w:p>
        </w:tc>
        <w:tc>
          <w:tcPr>
            <w:tcW w:w="2016" w:type="dxa"/>
            <w:tcBorders>
              <w:top w:val="nil"/>
              <w:left w:val="nil"/>
              <w:bottom w:val="single" w:color="auto" w:sz="4" w:space="0"/>
              <w:right w:val="single" w:color="auto" w:sz="4" w:space="0"/>
            </w:tcBorders>
            <w:noWrap w:val="0"/>
            <w:vAlign w:val="center"/>
          </w:tcPr>
          <w:p w14:paraId="5A147930">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有一项不合格扣2分。如发生食物中毒事件，一次扣</w:t>
            </w:r>
            <w:r>
              <w:rPr>
                <w:rFonts w:hint="eastAsia" w:ascii="宋体" w:hAnsi="宋体" w:eastAsia="宋体" w:cs="宋体"/>
                <w:b/>
                <w:snapToGrid/>
                <w:color w:val="auto"/>
                <w:sz w:val="18"/>
                <w:szCs w:val="18"/>
                <w:highlight w:val="none"/>
                <w:lang w:eastAsia="zh-CN"/>
              </w:rPr>
              <w:t>6</w:t>
            </w:r>
            <w:r>
              <w:rPr>
                <w:rFonts w:hint="eastAsia" w:ascii="宋体" w:hAnsi="宋体" w:eastAsia="宋体" w:cs="宋体"/>
                <w:snapToGrid/>
                <w:color w:val="auto"/>
                <w:sz w:val="18"/>
                <w:szCs w:val="18"/>
                <w:highlight w:val="none"/>
                <w:lang w:eastAsia="zh-CN"/>
              </w:rPr>
              <w:t>分并承担事件带来的一切责任及处罚；如出现采购质量问题根据造成经济损失给予相应处罚。</w:t>
            </w:r>
          </w:p>
        </w:tc>
        <w:tc>
          <w:tcPr>
            <w:tcW w:w="851" w:type="dxa"/>
            <w:tcBorders>
              <w:top w:val="nil"/>
              <w:left w:val="nil"/>
              <w:bottom w:val="single" w:color="auto" w:sz="4" w:space="0"/>
              <w:right w:val="single" w:color="auto" w:sz="4" w:space="0"/>
            </w:tcBorders>
            <w:noWrap w:val="0"/>
            <w:vAlign w:val="center"/>
          </w:tcPr>
          <w:p w14:paraId="55C03005">
            <w:pPr>
              <w:kinsoku/>
              <w:autoSpaceDE/>
              <w:autoSpaceDN/>
              <w:adjustRightInd/>
              <w:snapToGrid/>
              <w:jc w:val="center"/>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6</w:t>
            </w:r>
          </w:p>
        </w:tc>
        <w:tc>
          <w:tcPr>
            <w:tcW w:w="709" w:type="dxa"/>
            <w:tcBorders>
              <w:top w:val="nil"/>
              <w:left w:val="nil"/>
              <w:bottom w:val="single" w:color="auto" w:sz="4" w:space="0"/>
              <w:right w:val="single" w:color="auto" w:sz="4" w:space="0"/>
            </w:tcBorders>
            <w:noWrap w:val="0"/>
            <w:vAlign w:val="top"/>
          </w:tcPr>
          <w:p w14:paraId="2AFD901C">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c>
          <w:tcPr>
            <w:tcW w:w="801" w:type="dxa"/>
            <w:tcBorders>
              <w:top w:val="nil"/>
              <w:left w:val="nil"/>
              <w:bottom w:val="single" w:color="auto" w:sz="4" w:space="0"/>
              <w:right w:val="single" w:color="auto" w:sz="4" w:space="0"/>
            </w:tcBorders>
            <w:noWrap/>
            <w:vAlign w:val="center"/>
          </w:tcPr>
          <w:p w14:paraId="2A3B745E">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r>
      <w:tr w14:paraId="21E0E5C9">
        <w:tblPrEx>
          <w:tblCellMar>
            <w:top w:w="0" w:type="dxa"/>
            <w:left w:w="108" w:type="dxa"/>
            <w:bottom w:w="0" w:type="dxa"/>
            <w:right w:w="108" w:type="dxa"/>
          </w:tblCellMar>
        </w:tblPrEx>
        <w:trPr>
          <w:trHeight w:val="1678" w:hRule="atLeast"/>
        </w:trPr>
        <w:tc>
          <w:tcPr>
            <w:tcW w:w="887" w:type="dxa"/>
            <w:tcBorders>
              <w:top w:val="nil"/>
              <w:left w:val="single" w:color="auto" w:sz="4" w:space="0"/>
              <w:bottom w:val="single" w:color="auto" w:sz="4" w:space="0"/>
              <w:right w:val="single" w:color="auto" w:sz="4" w:space="0"/>
            </w:tcBorders>
            <w:noWrap w:val="0"/>
            <w:vAlign w:val="center"/>
          </w:tcPr>
          <w:p w14:paraId="5A8FA4AB">
            <w:pPr>
              <w:kinsoku/>
              <w:autoSpaceDE/>
              <w:autoSpaceDN/>
              <w:adjustRightInd/>
              <w:snapToGrid/>
              <w:jc w:val="center"/>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7</w:t>
            </w:r>
          </w:p>
        </w:tc>
        <w:tc>
          <w:tcPr>
            <w:tcW w:w="3912" w:type="dxa"/>
            <w:tcBorders>
              <w:top w:val="nil"/>
              <w:left w:val="nil"/>
              <w:bottom w:val="single" w:color="auto" w:sz="4" w:space="0"/>
              <w:right w:val="single" w:color="auto" w:sz="4" w:space="0"/>
            </w:tcBorders>
            <w:noWrap w:val="0"/>
            <w:vAlign w:val="center"/>
          </w:tcPr>
          <w:p w14:paraId="28EBEFC1">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食品保存不符合要求；对原料、半成品、成品的加工存放及使用容器是否存在交叉污染并有明显的区分标志，生、熟食品分开，食品存放分类分级，无过期、变质食品。冷藏柜应定期解冻、除霜、清洗，以保存制冷效果及冷柜内环境卫生、整洁、无异味。已开包装的食品必须用保鲜膜或保鲜盒密封存放。</w:t>
            </w:r>
          </w:p>
        </w:tc>
        <w:tc>
          <w:tcPr>
            <w:tcW w:w="2016" w:type="dxa"/>
            <w:tcBorders>
              <w:top w:val="nil"/>
              <w:left w:val="nil"/>
              <w:bottom w:val="single" w:color="auto" w:sz="4" w:space="0"/>
              <w:right w:val="single" w:color="auto" w:sz="4" w:space="0"/>
            </w:tcBorders>
            <w:noWrap w:val="0"/>
            <w:vAlign w:val="center"/>
          </w:tcPr>
          <w:p w14:paraId="6ED3DC78">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存在交叉感染并无明显的区分标志扣2分，生、熟食品未分开且食品存放没有分类分架扣2分。发现已开包装食品无密封包好的每次每</w:t>
            </w:r>
            <w:r>
              <w:rPr>
                <w:rFonts w:hint="eastAsia" w:ascii="宋体" w:hAnsi="宋体" w:eastAsia="宋体" w:cs="宋体"/>
                <w:snapToGrid/>
                <w:color w:val="auto"/>
                <w:sz w:val="18"/>
                <w:szCs w:val="18"/>
                <w:highlight w:val="none"/>
                <w:lang w:val="en-US" w:eastAsia="zh-CN"/>
              </w:rPr>
              <w:t>项</w:t>
            </w:r>
            <w:r>
              <w:rPr>
                <w:rFonts w:hint="eastAsia" w:ascii="宋体" w:hAnsi="宋体" w:eastAsia="宋体" w:cs="宋体"/>
                <w:snapToGrid/>
                <w:color w:val="auto"/>
                <w:sz w:val="18"/>
                <w:szCs w:val="18"/>
                <w:highlight w:val="none"/>
                <w:lang w:eastAsia="zh-CN"/>
              </w:rPr>
              <w:t>扣1分</w:t>
            </w:r>
          </w:p>
        </w:tc>
        <w:tc>
          <w:tcPr>
            <w:tcW w:w="851" w:type="dxa"/>
            <w:tcBorders>
              <w:top w:val="nil"/>
              <w:left w:val="nil"/>
              <w:bottom w:val="single" w:color="auto" w:sz="4" w:space="0"/>
              <w:right w:val="single" w:color="auto" w:sz="4" w:space="0"/>
            </w:tcBorders>
            <w:noWrap w:val="0"/>
            <w:vAlign w:val="center"/>
          </w:tcPr>
          <w:p w14:paraId="531AAD15">
            <w:pPr>
              <w:kinsoku/>
              <w:autoSpaceDE/>
              <w:autoSpaceDN/>
              <w:adjustRightInd/>
              <w:snapToGrid/>
              <w:jc w:val="center"/>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val="en-US" w:eastAsia="zh-CN"/>
              </w:rPr>
              <w:t>8</w:t>
            </w:r>
          </w:p>
        </w:tc>
        <w:tc>
          <w:tcPr>
            <w:tcW w:w="709" w:type="dxa"/>
            <w:tcBorders>
              <w:top w:val="nil"/>
              <w:left w:val="nil"/>
              <w:bottom w:val="single" w:color="auto" w:sz="4" w:space="0"/>
              <w:right w:val="single" w:color="auto" w:sz="4" w:space="0"/>
            </w:tcBorders>
            <w:noWrap w:val="0"/>
            <w:vAlign w:val="top"/>
          </w:tcPr>
          <w:p w14:paraId="05F773AA">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c>
          <w:tcPr>
            <w:tcW w:w="801" w:type="dxa"/>
            <w:tcBorders>
              <w:top w:val="nil"/>
              <w:left w:val="nil"/>
              <w:bottom w:val="single" w:color="auto" w:sz="4" w:space="0"/>
              <w:right w:val="single" w:color="auto" w:sz="4" w:space="0"/>
            </w:tcBorders>
            <w:noWrap/>
            <w:vAlign w:val="center"/>
          </w:tcPr>
          <w:p w14:paraId="1675D550">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r>
      <w:tr w14:paraId="59138E19">
        <w:tblPrEx>
          <w:tblCellMar>
            <w:top w:w="0" w:type="dxa"/>
            <w:left w:w="108" w:type="dxa"/>
            <w:bottom w:w="0" w:type="dxa"/>
            <w:right w:w="108" w:type="dxa"/>
          </w:tblCellMar>
        </w:tblPrEx>
        <w:trPr>
          <w:trHeight w:val="1198" w:hRule="atLeast"/>
        </w:trPr>
        <w:tc>
          <w:tcPr>
            <w:tcW w:w="887" w:type="dxa"/>
            <w:tcBorders>
              <w:top w:val="nil"/>
              <w:left w:val="single" w:color="auto" w:sz="4" w:space="0"/>
              <w:bottom w:val="single" w:color="auto" w:sz="4" w:space="0"/>
              <w:right w:val="single" w:color="auto" w:sz="4" w:space="0"/>
            </w:tcBorders>
            <w:noWrap w:val="0"/>
            <w:vAlign w:val="center"/>
          </w:tcPr>
          <w:p w14:paraId="03EB0548">
            <w:pPr>
              <w:kinsoku/>
              <w:autoSpaceDE/>
              <w:autoSpaceDN/>
              <w:adjustRightInd/>
              <w:snapToGrid/>
              <w:jc w:val="center"/>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8</w:t>
            </w:r>
          </w:p>
        </w:tc>
        <w:tc>
          <w:tcPr>
            <w:tcW w:w="3912" w:type="dxa"/>
            <w:tcBorders>
              <w:top w:val="nil"/>
              <w:left w:val="nil"/>
              <w:bottom w:val="single" w:color="auto" w:sz="4" w:space="0"/>
              <w:right w:val="single" w:color="auto" w:sz="4" w:space="0"/>
            </w:tcBorders>
            <w:noWrap w:val="0"/>
            <w:vAlign w:val="center"/>
          </w:tcPr>
          <w:p w14:paraId="4CDF105C">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餐饮器具卫生不符合要求，如炊具、餐具、刀具、熟食容器等。没有按要求做好消毒并保持清洁，做到“一洗二清三消毒四隔离”，建立消毒台账。</w:t>
            </w:r>
          </w:p>
        </w:tc>
        <w:tc>
          <w:tcPr>
            <w:tcW w:w="2016" w:type="dxa"/>
            <w:tcBorders>
              <w:top w:val="nil"/>
              <w:left w:val="nil"/>
              <w:bottom w:val="single" w:color="auto" w:sz="4" w:space="0"/>
              <w:right w:val="single" w:color="auto" w:sz="4" w:space="0"/>
            </w:tcBorders>
            <w:noWrap w:val="0"/>
            <w:vAlign w:val="center"/>
          </w:tcPr>
          <w:p w14:paraId="59C9A2CD">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发现无消毒作业每次扣2分，不定期扣2分。</w:t>
            </w:r>
          </w:p>
        </w:tc>
        <w:tc>
          <w:tcPr>
            <w:tcW w:w="851" w:type="dxa"/>
            <w:tcBorders>
              <w:top w:val="nil"/>
              <w:left w:val="nil"/>
              <w:bottom w:val="single" w:color="auto" w:sz="4" w:space="0"/>
              <w:right w:val="single" w:color="auto" w:sz="4" w:space="0"/>
            </w:tcBorders>
            <w:noWrap w:val="0"/>
            <w:vAlign w:val="center"/>
          </w:tcPr>
          <w:p w14:paraId="3F4FBA39">
            <w:pPr>
              <w:kinsoku/>
              <w:autoSpaceDE/>
              <w:autoSpaceDN/>
              <w:adjustRightInd/>
              <w:snapToGrid/>
              <w:jc w:val="center"/>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6</w:t>
            </w:r>
          </w:p>
        </w:tc>
        <w:tc>
          <w:tcPr>
            <w:tcW w:w="709" w:type="dxa"/>
            <w:tcBorders>
              <w:top w:val="nil"/>
              <w:left w:val="nil"/>
              <w:bottom w:val="single" w:color="auto" w:sz="4" w:space="0"/>
              <w:right w:val="single" w:color="auto" w:sz="4" w:space="0"/>
            </w:tcBorders>
            <w:noWrap w:val="0"/>
            <w:vAlign w:val="top"/>
          </w:tcPr>
          <w:p w14:paraId="34D51E54">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c>
          <w:tcPr>
            <w:tcW w:w="801" w:type="dxa"/>
            <w:tcBorders>
              <w:top w:val="nil"/>
              <w:left w:val="nil"/>
              <w:bottom w:val="single" w:color="auto" w:sz="4" w:space="0"/>
              <w:right w:val="single" w:color="auto" w:sz="4" w:space="0"/>
            </w:tcBorders>
            <w:noWrap/>
            <w:vAlign w:val="center"/>
          </w:tcPr>
          <w:p w14:paraId="2A233773">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r>
      <w:tr w14:paraId="07C38C44">
        <w:tblPrEx>
          <w:tblCellMar>
            <w:top w:w="0" w:type="dxa"/>
            <w:left w:w="108" w:type="dxa"/>
            <w:bottom w:w="0" w:type="dxa"/>
            <w:right w:w="108" w:type="dxa"/>
          </w:tblCellMar>
        </w:tblPrEx>
        <w:trPr>
          <w:trHeight w:val="1697" w:hRule="atLeast"/>
        </w:trPr>
        <w:tc>
          <w:tcPr>
            <w:tcW w:w="887" w:type="dxa"/>
            <w:tcBorders>
              <w:top w:val="nil"/>
              <w:left w:val="single" w:color="auto" w:sz="4" w:space="0"/>
              <w:bottom w:val="single" w:color="auto" w:sz="4" w:space="0"/>
              <w:right w:val="single" w:color="auto" w:sz="4" w:space="0"/>
            </w:tcBorders>
            <w:noWrap w:val="0"/>
            <w:vAlign w:val="center"/>
          </w:tcPr>
          <w:p w14:paraId="4B95EFC2">
            <w:pPr>
              <w:kinsoku/>
              <w:autoSpaceDE/>
              <w:autoSpaceDN/>
              <w:adjustRightInd/>
              <w:snapToGrid/>
              <w:jc w:val="center"/>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9</w:t>
            </w:r>
          </w:p>
        </w:tc>
        <w:tc>
          <w:tcPr>
            <w:tcW w:w="3912" w:type="dxa"/>
            <w:tcBorders>
              <w:top w:val="nil"/>
              <w:left w:val="nil"/>
              <w:bottom w:val="single" w:color="auto" w:sz="4" w:space="0"/>
              <w:right w:val="single" w:color="auto" w:sz="4" w:space="0"/>
            </w:tcBorders>
            <w:noWrap w:val="0"/>
            <w:vAlign w:val="center"/>
          </w:tcPr>
          <w:p w14:paraId="0332C1CF">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工作人员卫生检查不符合要求的；1、未按要求穿戴整洁的工作服、工作帽、口罩、一次性手套并将头发置于帽内；2、厨师操作前没按要求进行手卫生清洁，操作食品时有吸烟、挖鼻孔、整理头发、对食品打喷嚏等不卫生行为。3、出售食品时不能用手直接接触食品。</w:t>
            </w:r>
          </w:p>
        </w:tc>
        <w:tc>
          <w:tcPr>
            <w:tcW w:w="2016" w:type="dxa"/>
            <w:tcBorders>
              <w:top w:val="nil"/>
              <w:left w:val="nil"/>
              <w:bottom w:val="single" w:color="auto" w:sz="4" w:space="0"/>
              <w:right w:val="single" w:color="auto" w:sz="4" w:space="0"/>
            </w:tcBorders>
            <w:noWrap w:val="0"/>
            <w:vAlign w:val="center"/>
          </w:tcPr>
          <w:p w14:paraId="1BBB5C5D">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发现1人1次减扣1分。</w:t>
            </w:r>
          </w:p>
        </w:tc>
        <w:tc>
          <w:tcPr>
            <w:tcW w:w="851" w:type="dxa"/>
            <w:tcBorders>
              <w:top w:val="nil"/>
              <w:left w:val="nil"/>
              <w:bottom w:val="single" w:color="auto" w:sz="4" w:space="0"/>
              <w:right w:val="single" w:color="auto" w:sz="4" w:space="0"/>
            </w:tcBorders>
            <w:noWrap w:val="0"/>
            <w:vAlign w:val="center"/>
          </w:tcPr>
          <w:p w14:paraId="325D314D">
            <w:pPr>
              <w:kinsoku/>
              <w:autoSpaceDE/>
              <w:autoSpaceDN/>
              <w:adjustRightInd/>
              <w:snapToGrid/>
              <w:jc w:val="center"/>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val="en-US" w:eastAsia="zh-CN"/>
              </w:rPr>
              <w:t>6</w:t>
            </w:r>
          </w:p>
        </w:tc>
        <w:tc>
          <w:tcPr>
            <w:tcW w:w="709" w:type="dxa"/>
            <w:tcBorders>
              <w:top w:val="nil"/>
              <w:left w:val="nil"/>
              <w:bottom w:val="single" w:color="auto" w:sz="4" w:space="0"/>
              <w:right w:val="single" w:color="auto" w:sz="4" w:space="0"/>
            </w:tcBorders>
            <w:noWrap w:val="0"/>
            <w:vAlign w:val="top"/>
          </w:tcPr>
          <w:p w14:paraId="52D17F75">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c>
          <w:tcPr>
            <w:tcW w:w="801" w:type="dxa"/>
            <w:tcBorders>
              <w:top w:val="nil"/>
              <w:left w:val="nil"/>
              <w:bottom w:val="single" w:color="auto" w:sz="4" w:space="0"/>
              <w:right w:val="single" w:color="auto" w:sz="4" w:space="0"/>
            </w:tcBorders>
            <w:noWrap/>
            <w:vAlign w:val="center"/>
          </w:tcPr>
          <w:p w14:paraId="63B1E6F4">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r>
      <w:tr w14:paraId="7B1B9276">
        <w:tblPrEx>
          <w:tblCellMar>
            <w:top w:w="0" w:type="dxa"/>
            <w:left w:w="108" w:type="dxa"/>
            <w:bottom w:w="0" w:type="dxa"/>
            <w:right w:w="108" w:type="dxa"/>
          </w:tblCellMar>
        </w:tblPrEx>
        <w:trPr>
          <w:trHeight w:val="1244" w:hRule="atLeast"/>
        </w:trPr>
        <w:tc>
          <w:tcPr>
            <w:tcW w:w="887" w:type="dxa"/>
            <w:tcBorders>
              <w:top w:val="single" w:color="auto" w:sz="4" w:space="0"/>
              <w:left w:val="single" w:color="auto" w:sz="4" w:space="0"/>
              <w:bottom w:val="single" w:color="auto" w:sz="4" w:space="0"/>
              <w:right w:val="single" w:color="auto" w:sz="4" w:space="0"/>
            </w:tcBorders>
            <w:noWrap w:val="0"/>
            <w:vAlign w:val="center"/>
          </w:tcPr>
          <w:p w14:paraId="0DDDE708">
            <w:pPr>
              <w:kinsoku/>
              <w:autoSpaceDE/>
              <w:autoSpaceDN/>
              <w:adjustRightInd/>
              <w:snapToGrid/>
              <w:jc w:val="center"/>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10</w:t>
            </w:r>
          </w:p>
        </w:tc>
        <w:tc>
          <w:tcPr>
            <w:tcW w:w="3912" w:type="dxa"/>
            <w:tcBorders>
              <w:top w:val="single" w:color="auto" w:sz="4" w:space="0"/>
              <w:left w:val="single" w:color="auto" w:sz="4" w:space="0"/>
              <w:bottom w:val="single" w:color="auto" w:sz="4" w:space="0"/>
              <w:right w:val="single" w:color="auto" w:sz="4" w:space="0"/>
            </w:tcBorders>
            <w:noWrap w:val="0"/>
            <w:vAlign w:val="center"/>
          </w:tcPr>
          <w:p w14:paraId="443B85A8">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文明优质服务不符合要求的；饭堂服务人员不耐心解答、微笑服务，与职工、病人及家属发生争吵、打骂的；以及其他不文明行为。</w:t>
            </w:r>
          </w:p>
        </w:tc>
        <w:tc>
          <w:tcPr>
            <w:tcW w:w="2016" w:type="dxa"/>
            <w:tcBorders>
              <w:top w:val="single" w:color="auto" w:sz="4" w:space="0"/>
              <w:left w:val="single" w:color="auto" w:sz="4" w:space="0"/>
              <w:bottom w:val="single" w:color="auto" w:sz="4" w:space="0"/>
              <w:right w:val="single" w:color="auto" w:sz="4" w:space="0"/>
            </w:tcBorders>
            <w:noWrap w:val="0"/>
            <w:vAlign w:val="center"/>
          </w:tcPr>
          <w:p w14:paraId="37E44749">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发现1人次不文明行为扣2分。有人举报（投诉）每次扣</w:t>
            </w:r>
            <w:r>
              <w:rPr>
                <w:rFonts w:hint="eastAsia" w:ascii="宋体" w:hAnsi="宋体" w:eastAsia="宋体" w:cs="宋体"/>
                <w:snapToGrid/>
                <w:color w:val="auto"/>
                <w:sz w:val="18"/>
                <w:szCs w:val="18"/>
                <w:highlight w:val="none"/>
                <w:lang w:val="en-US" w:eastAsia="zh-CN"/>
              </w:rPr>
              <w:t>2</w:t>
            </w:r>
            <w:r>
              <w:rPr>
                <w:rFonts w:hint="eastAsia" w:ascii="宋体" w:hAnsi="宋体" w:eastAsia="宋体" w:cs="宋体"/>
                <w:snapToGrid/>
                <w:color w:val="auto"/>
                <w:sz w:val="18"/>
                <w:szCs w:val="18"/>
                <w:highlight w:val="none"/>
                <w:lang w:eastAsia="zh-CN"/>
              </w:rPr>
              <w:t>分，如出现恶劣事件医院将根据造成影响对当期考核结果做出调整。</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723718A2">
            <w:pPr>
              <w:kinsoku/>
              <w:autoSpaceDE/>
              <w:autoSpaceDN/>
              <w:adjustRightInd/>
              <w:snapToGrid/>
              <w:jc w:val="center"/>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val="en-US" w:eastAsia="zh-CN"/>
              </w:rPr>
              <w:t>4</w:t>
            </w:r>
          </w:p>
        </w:tc>
        <w:tc>
          <w:tcPr>
            <w:tcW w:w="709" w:type="dxa"/>
            <w:tcBorders>
              <w:top w:val="single" w:color="auto" w:sz="4" w:space="0"/>
              <w:left w:val="single" w:color="auto" w:sz="4" w:space="0"/>
              <w:bottom w:val="single" w:color="auto" w:sz="4" w:space="0"/>
              <w:right w:val="single" w:color="auto" w:sz="4" w:space="0"/>
            </w:tcBorders>
            <w:noWrap w:val="0"/>
            <w:vAlign w:val="top"/>
          </w:tcPr>
          <w:p w14:paraId="39A5F02F">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c>
          <w:tcPr>
            <w:tcW w:w="801" w:type="dxa"/>
            <w:tcBorders>
              <w:top w:val="single" w:color="auto" w:sz="4" w:space="0"/>
              <w:left w:val="single" w:color="auto" w:sz="4" w:space="0"/>
              <w:bottom w:val="single" w:color="auto" w:sz="4" w:space="0"/>
              <w:right w:val="single" w:color="auto" w:sz="4" w:space="0"/>
            </w:tcBorders>
            <w:noWrap/>
            <w:vAlign w:val="center"/>
          </w:tcPr>
          <w:p w14:paraId="63BE65CB">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r>
      <w:tr w14:paraId="7B6980E0">
        <w:tblPrEx>
          <w:tblCellMar>
            <w:top w:w="0" w:type="dxa"/>
            <w:left w:w="108" w:type="dxa"/>
            <w:bottom w:w="0" w:type="dxa"/>
            <w:right w:w="108" w:type="dxa"/>
          </w:tblCellMar>
        </w:tblPrEx>
        <w:trPr>
          <w:trHeight w:val="1034" w:hRule="atLeast"/>
        </w:trPr>
        <w:tc>
          <w:tcPr>
            <w:tcW w:w="887" w:type="dxa"/>
            <w:tcBorders>
              <w:top w:val="single" w:color="auto" w:sz="4" w:space="0"/>
              <w:left w:val="single" w:color="auto" w:sz="4" w:space="0"/>
              <w:bottom w:val="single" w:color="auto" w:sz="4" w:space="0"/>
              <w:right w:val="single" w:color="auto" w:sz="4" w:space="0"/>
            </w:tcBorders>
            <w:noWrap w:val="0"/>
            <w:vAlign w:val="center"/>
          </w:tcPr>
          <w:p w14:paraId="34602C5E">
            <w:pPr>
              <w:kinsoku/>
              <w:autoSpaceDE/>
              <w:autoSpaceDN/>
              <w:adjustRightInd/>
              <w:snapToGrid/>
              <w:jc w:val="center"/>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11</w:t>
            </w:r>
          </w:p>
        </w:tc>
        <w:tc>
          <w:tcPr>
            <w:tcW w:w="3912" w:type="dxa"/>
            <w:tcBorders>
              <w:top w:val="single" w:color="auto" w:sz="4" w:space="0"/>
              <w:left w:val="nil"/>
              <w:bottom w:val="single" w:color="auto" w:sz="4" w:space="0"/>
              <w:right w:val="single" w:color="auto" w:sz="4" w:space="0"/>
            </w:tcBorders>
            <w:noWrap w:val="0"/>
            <w:vAlign w:val="center"/>
          </w:tcPr>
          <w:p w14:paraId="3A529269">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食品质量不符合要求的；1、食品食物中出现杂物；2、不熟或口感较差现象；3、其他质量问题被投诉核实的；4、销售隔夜剩菜。</w:t>
            </w:r>
          </w:p>
        </w:tc>
        <w:tc>
          <w:tcPr>
            <w:tcW w:w="2016" w:type="dxa"/>
            <w:tcBorders>
              <w:top w:val="single" w:color="auto" w:sz="4" w:space="0"/>
              <w:left w:val="nil"/>
              <w:bottom w:val="single" w:color="auto" w:sz="4" w:space="0"/>
              <w:right w:val="single" w:color="auto" w:sz="4" w:space="0"/>
            </w:tcBorders>
            <w:noWrap w:val="0"/>
            <w:vAlign w:val="center"/>
          </w:tcPr>
          <w:p w14:paraId="28591C1B">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发现一项每次扣1分</w:t>
            </w:r>
          </w:p>
        </w:tc>
        <w:tc>
          <w:tcPr>
            <w:tcW w:w="851" w:type="dxa"/>
            <w:tcBorders>
              <w:top w:val="single" w:color="auto" w:sz="4" w:space="0"/>
              <w:left w:val="nil"/>
              <w:bottom w:val="single" w:color="auto" w:sz="4" w:space="0"/>
              <w:right w:val="single" w:color="auto" w:sz="4" w:space="0"/>
            </w:tcBorders>
            <w:noWrap w:val="0"/>
            <w:vAlign w:val="center"/>
          </w:tcPr>
          <w:p w14:paraId="2312C073">
            <w:pPr>
              <w:kinsoku/>
              <w:autoSpaceDE/>
              <w:autoSpaceDN/>
              <w:adjustRightInd/>
              <w:snapToGrid/>
              <w:jc w:val="center"/>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val="en-US" w:eastAsia="zh-CN"/>
              </w:rPr>
              <w:t>7</w:t>
            </w:r>
          </w:p>
        </w:tc>
        <w:tc>
          <w:tcPr>
            <w:tcW w:w="709" w:type="dxa"/>
            <w:tcBorders>
              <w:top w:val="single" w:color="auto" w:sz="4" w:space="0"/>
              <w:left w:val="nil"/>
              <w:bottom w:val="single" w:color="auto" w:sz="4" w:space="0"/>
              <w:right w:val="single" w:color="auto" w:sz="4" w:space="0"/>
            </w:tcBorders>
            <w:noWrap w:val="0"/>
            <w:vAlign w:val="top"/>
          </w:tcPr>
          <w:p w14:paraId="1898EDAF">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c>
          <w:tcPr>
            <w:tcW w:w="801" w:type="dxa"/>
            <w:tcBorders>
              <w:top w:val="single" w:color="auto" w:sz="4" w:space="0"/>
              <w:left w:val="nil"/>
              <w:bottom w:val="single" w:color="auto" w:sz="4" w:space="0"/>
              <w:right w:val="single" w:color="auto" w:sz="4" w:space="0"/>
            </w:tcBorders>
            <w:noWrap/>
            <w:vAlign w:val="center"/>
          </w:tcPr>
          <w:p w14:paraId="004CE46F">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r>
      <w:tr w14:paraId="6BEDF6FF">
        <w:tblPrEx>
          <w:tblCellMar>
            <w:top w:w="0" w:type="dxa"/>
            <w:left w:w="108" w:type="dxa"/>
            <w:bottom w:w="0" w:type="dxa"/>
            <w:right w:w="108" w:type="dxa"/>
          </w:tblCellMar>
        </w:tblPrEx>
        <w:trPr>
          <w:trHeight w:val="1079" w:hRule="atLeast"/>
        </w:trPr>
        <w:tc>
          <w:tcPr>
            <w:tcW w:w="887" w:type="dxa"/>
            <w:tcBorders>
              <w:top w:val="nil"/>
              <w:left w:val="single" w:color="auto" w:sz="4" w:space="0"/>
              <w:bottom w:val="single" w:color="auto" w:sz="4" w:space="0"/>
              <w:right w:val="single" w:color="auto" w:sz="4" w:space="0"/>
            </w:tcBorders>
            <w:noWrap w:val="0"/>
            <w:vAlign w:val="center"/>
          </w:tcPr>
          <w:p w14:paraId="08136012">
            <w:pPr>
              <w:kinsoku/>
              <w:autoSpaceDE/>
              <w:autoSpaceDN/>
              <w:adjustRightInd/>
              <w:snapToGrid/>
              <w:jc w:val="center"/>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12</w:t>
            </w:r>
          </w:p>
        </w:tc>
        <w:tc>
          <w:tcPr>
            <w:tcW w:w="3912" w:type="dxa"/>
            <w:tcBorders>
              <w:top w:val="nil"/>
              <w:left w:val="nil"/>
              <w:bottom w:val="single" w:color="auto" w:sz="4" w:space="0"/>
              <w:right w:val="single" w:color="auto" w:sz="4" w:space="0"/>
            </w:tcBorders>
            <w:noWrap w:val="0"/>
            <w:vAlign w:val="center"/>
          </w:tcPr>
          <w:p w14:paraId="4C99DD68">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每日供应食品品种数量不符合要求的；1、每日中、晚品目达不到合同要求；2、每周品目达不到合同要求，3、餐、荤配比达不到合同要求。4、素营养搭配不合理的。</w:t>
            </w:r>
          </w:p>
        </w:tc>
        <w:tc>
          <w:tcPr>
            <w:tcW w:w="2016" w:type="dxa"/>
            <w:tcBorders>
              <w:top w:val="nil"/>
              <w:left w:val="nil"/>
              <w:bottom w:val="single" w:color="auto" w:sz="4" w:space="0"/>
              <w:right w:val="single" w:color="auto" w:sz="4" w:space="0"/>
            </w:tcBorders>
            <w:noWrap w:val="0"/>
            <w:vAlign w:val="center"/>
          </w:tcPr>
          <w:p w14:paraId="47B26BAF">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每少一种扣1分。荤、素营养搭配不合理扣1分</w:t>
            </w:r>
          </w:p>
        </w:tc>
        <w:tc>
          <w:tcPr>
            <w:tcW w:w="851" w:type="dxa"/>
            <w:tcBorders>
              <w:top w:val="nil"/>
              <w:left w:val="nil"/>
              <w:bottom w:val="single" w:color="auto" w:sz="4" w:space="0"/>
              <w:right w:val="single" w:color="auto" w:sz="4" w:space="0"/>
            </w:tcBorders>
            <w:noWrap w:val="0"/>
            <w:vAlign w:val="center"/>
          </w:tcPr>
          <w:p w14:paraId="7F37EA14">
            <w:pPr>
              <w:kinsoku/>
              <w:autoSpaceDE/>
              <w:autoSpaceDN/>
              <w:adjustRightInd/>
              <w:snapToGrid/>
              <w:jc w:val="center"/>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5</w:t>
            </w:r>
          </w:p>
        </w:tc>
        <w:tc>
          <w:tcPr>
            <w:tcW w:w="709" w:type="dxa"/>
            <w:tcBorders>
              <w:top w:val="nil"/>
              <w:left w:val="nil"/>
              <w:bottom w:val="single" w:color="auto" w:sz="4" w:space="0"/>
              <w:right w:val="single" w:color="auto" w:sz="4" w:space="0"/>
            </w:tcBorders>
            <w:noWrap w:val="0"/>
            <w:vAlign w:val="top"/>
          </w:tcPr>
          <w:p w14:paraId="62AA1CC6">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c>
          <w:tcPr>
            <w:tcW w:w="801" w:type="dxa"/>
            <w:tcBorders>
              <w:top w:val="nil"/>
              <w:left w:val="nil"/>
              <w:bottom w:val="single" w:color="auto" w:sz="4" w:space="0"/>
              <w:right w:val="single" w:color="auto" w:sz="4" w:space="0"/>
            </w:tcBorders>
            <w:noWrap/>
            <w:vAlign w:val="center"/>
          </w:tcPr>
          <w:p w14:paraId="255DA91B">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r>
      <w:tr w14:paraId="663CBE0A">
        <w:tblPrEx>
          <w:tblCellMar>
            <w:top w:w="0" w:type="dxa"/>
            <w:left w:w="108" w:type="dxa"/>
            <w:bottom w:w="0" w:type="dxa"/>
            <w:right w:w="108" w:type="dxa"/>
          </w:tblCellMar>
        </w:tblPrEx>
        <w:trPr>
          <w:trHeight w:val="1019" w:hRule="atLeast"/>
        </w:trPr>
        <w:tc>
          <w:tcPr>
            <w:tcW w:w="887" w:type="dxa"/>
            <w:tcBorders>
              <w:top w:val="nil"/>
              <w:left w:val="single" w:color="auto" w:sz="4" w:space="0"/>
              <w:bottom w:val="single" w:color="auto" w:sz="4" w:space="0"/>
              <w:right w:val="single" w:color="auto" w:sz="4" w:space="0"/>
            </w:tcBorders>
            <w:noWrap w:val="0"/>
            <w:vAlign w:val="center"/>
          </w:tcPr>
          <w:p w14:paraId="11D1A250">
            <w:pPr>
              <w:kinsoku/>
              <w:autoSpaceDE/>
              <w:autoSpaceDN/>
              <w:adjustRightInd/>
              <w:snapToGrid/>
              <w:jc w:val="center"/>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13</w:t>
            </w:r>
          </w:p>
        </w:tc>
        <w:tc>
          <w:tcPr>
            <w:tcW w:w="3912" w:type="dxa"/>
            <w:tcBorders>
              <w:top w:val="nil"/>
              <w:left w:val="nil"/>
              <w:bottom w:val="single" w:color="auto" w:sz="4" w:space="0"/>
              <w:right w:val="single" w:color="auto" w:sz="4" w:space="0"/>
            </w:tcBorders>
            <w:noWrap w:val="0"/>
            <w:vAlign w:val="top"/>
          </w:tcPr>
          <w:p w14:paraId="698F9CE9">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安全保卫工作管理达不到要求的；1、食堂应建立严格的安全保卫规定，严禁非食堂人员随意进入，食堂的食品加工操作间及原料仓库。厨房内做到下班人走门锁。</w:t>
            </w:r>
          </w:p>
        </w:tc>
        <w:tc>
          <w:tcPr>
            <w:tcW w:w="2016" w:type="dxa"/>
            <w:tcBorders>
              <w:top w:val="nil"/>
              <w:left w:val="nil"/>
              <w:bottom w:val="single" w:color="auto" w:sz="4" w:space="0"/>
              <w:right w:val="single" w:color="auto" w:sz="4" w:space="0"/>
            </w:tcBorders>
            <w:noWrap w:val="0"/>
            <w:vAlign w:val="top"/>
          </w:tcPr>
          <w:p w14:paraId="3FF3BCE2">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不按食品安全工作规定执行扣2分。发现非食堂人员随意进入食堂1次扣1分。</w:t>
            </w:r>
          </w:p>
        </w:tc>
        <w:tc>
          <w:tcPr>
            <w:tcW w:w="851" w:type="dxa"/>
            <w:tcBorders>
              <w:top w:val="nil"/>
              <w:left w:val="nil"/>
              <w:bottom w:val="single" w:color="auto" w:sz="4" w:space="0"/>
              <w:right w:val="single" w:color="auto" w:sz="4" w:space="0"/>
            </w:tcBorders>
            <w:noWrap w:val="0"/>
            <w:vAlign w:val="center"/>
          </w:tcPr>
          <w:p w14:paraId="464100DF">
            <w:pPr>
              <w:kinsoku/>
              <w:autoSpaceDE/>
              <w:autoSpaceDN/>
              <w:adjustRightInd/>
              <w:snapToGrid/>
              <w:jc w:val="center"/>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5</w:t>
            </w:r>
          </w:p>
        </w:tc>
        <w:tc>
          <w:tcPr>
            <w:tcW w:w="709" w:type="dxa"/>
            <w:tcBorders>
              <w:top w:val="nil"/>
              <w:left w:val="nil"/>
              <w:bottom w:val="single" w:color="auto" w:sz="4" w:space="0"/>
              <w:right w:val="single" w:color="auto" w:sz="4" w:space="0"/>
            </w:tcBorders>
            <w:noWrap w:val="0"/>
            <w:vAlign w:val="top"/>
          </w:tcPr>
          <w:p w14:paraId="0E7774E5">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c>
          <w:tcPr>
            <w:tcW w:w="801" w:type="dxa"/>
            <w:tcBorders>
              <w:top w:val="nil"/>
              <w:left w:val="nil"/>
              <w:bottom w:val="single" w:color="auto" w:sz="4" w:space="0"/>
              <w:right w:val="single" w:color="auto" w:sz="4" w:space="0"/>
            </w:tcBorders>
            <w:noWrap/>
            <w:vAlign w:val="center"/>
          </w:tcPr>
          <w:p w14:paraId="62577F33">
            <w:pPr>
              <w:kinsoku/>
              <w:autoSpaceDE/>
              <w:autoSpaceDN/>
              <w:adjustRightInd/>
              <w:snapToGrid/>
              <w:textAlignment w:val="auto"/>
              <w:rPr>
                <w:rFonts w:ascii="宋体" w:hAnsi="宋体" w:eastAsia="宋体" w:cs="宋体"/>
                <w:snapToGrid/>
                <w:color w:val="auto"/>
                <w:sz w:val="18"/>
                <w:szCs w:val="18"/>
                <w:highlight w:val="none"/>
                <w:lang w:eastAsia="zh-CN"/>
              </w:rPr>
            </w:pPr>
          </w:p>
        </w:tc>
      </w:tr>
      <w:tr w14:paraId="09DB17BF">
        <w:tblPrEx>
          <w:tblCellMar>
            <w:top w:w="0" w:type="dxa"/>
            <w:left w:w="108" w:type="dxa"/>
            <w:bottom w:w="0" w:type="dxa"/>
            <w:right w:w="108" w:type="dxa"/>
          </w:tblCellMar>
        </w:tblPrEx>
        <w:trPr>
          <w:trHeight w:val="1541" w:hRule="atLeast"/>
        </w:trPr>
        <w:tc>
          <w:tcPr>
            <w:tcW w:w="887" w:type="dxa"/>
            <w:tcBorders>
              <w:top w:val="nil"/>
              <w:left w:val="single" w:color="auto" w:sz="4" w:space="0"/>
              <w:bottom w:val="single" w:color="auto" w:sz="4" w:space="0"/>
              <w:right w:val="single" w:color="auto" w:sz="4" w:space="0"/>
            </w:tcBorders>
            <w:noWrap w:val="0"/>
            <w:vAlign w:val="center"/>
          </w:tcPr>
          <w:p w14:paraId="71DF9C22">
            <w:pPr>
              <w:kinsoku/>
              <w:autoSpaceDE/>
              <w:autoSpaceDN/>
              <w:adjustRightInd/>
              <w:snapToGrid/>
              <w:jc w:val="center"/>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14</w:t>
            </w:r>
          </w:p>
        </w:tc>
        <w:tc>
          <w:tcPr>
            <w:tcW w:w="3912" w:type="dxa"/>
            <w:tcBorders>
              <w:top w:val="nil"/>
              <w:left w:val="nil"/>
              <w:bottom w:val="single" w:color="auto" w:sz="4" w:space="0"/>
              <w:right w:val="single" w:color="auto" w:sz="4" w:space="0"/>
            </w:tcBorders>
            <w:noWrap w:val="0"/>
            <w:vAlign w:val="center"/>
          </w:tcPr>
          <w:p w14:paraId="1D71C459">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消防安全工作执行不符合要求的；1、没按要求执行每日消防安全检查的； 2、存在擅自将消防设施挪作他用，存在将其消防设施、覆盖。3、服务人员消防安全培训与学习不到位的；并建立安全生产台账4、没按要求用电安全自查与保障的；5、未按要求配备消防应急物资配备的</w:t>
            </w:r>
          </w:p>
        </w:tc>
        <w:tc>
          <w:tcPr>
            <w:tcW w:w="2016" w:type="dxa"/>
            <w:tcBorders>
              <w:top w:val="nil"/>
              <w:left w:val="nil"/>
              <w:bottom w:val="single" w:color="auto" w:sz="4" w:space="0"/>
              <w:right w:val="single" w:color="auto" w:sz="4" w:space="0"/>
            </w:tcBorders>
            <w:noWrap w:val="0"/>
            <w:vAlign w:val="center"/>
          </w:tcPr>
          <w:p w14:paraId="49CF4D88">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发现一项每次扣1分</w:t>
            </w:r>
          </w:p>
        </w:tc>
        <w:tc>
          <w:tcPr>
            <w:tcW w:w="851" w:type="dxa"/>
            <w:tcBorders>
              <w:top w:val="nil"/>
              <w:left w:val="nil"/>
              <w:bottom w:val="single" w:color="auto" w:sz="4" w:space="0"/>
              <w:right w:val="single" w:color="auto" w:sz="4" w:space="0"/>
            </w:tcBorders>
            <w:noWrap w:val="0"/>
            <w:vAlign w:val="center"/>
          </w:tcPr>
          <w:p w14:paraId="0648A282">
            <w:pPr>
              <w:kinsoku/>
              <w:autoSpaceDE/>
              <w:autoSpaceDN/>
              <w:adjustRightInd/>
              <w:snapToGrid/>
              <w:jc w:val="center"/>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5</w:t>
            </w:r>
          </w:p>
        </w:tc>
        <w:tc>
          <w:tcPr>
            <w:tcW w:w="709" w:type="dxa"/>
            <w:tcBorders>
              <w:top w:val="nil"/>
              <w:left w:val="nil"/>
              <w:bottom w:val="single" w:color="auto" w:sz="4" w:space="0"/>
              <w:right w:val="single" w:color="auto" w:sz="4" w:space="0"/>
            </w:tcBorders>
            <w:noWrap w:val="0"/>
            <w:vAlign w:val="center"/>
          </w:tcPr>
          <w:p w14:paraId="1EE59BC8">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c>
          <w:tcPr>
            <w:tcW w:w="801" w:type="dxa"/>
            <w:tcBorders>
              <w:top w:val="nil"/>
              <w:left w:val="nil"/>
              <w:bottom w:val="single" w:color="auto" w:sz="4" w:space="0"/>
              <w:right w:val="single" w:color="auto" w:sz="4" w:space="0"/>
            </w:tcBorders>
            <w:noWrap/>
            <w:vAlign w:val="center"/>
          </w:tcPr>
          <w:p w14:paraId="7233BE05">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r>
      <w:tr w14:paraId="3B182385">
        <w:tblPrEx>
          <w:tblCellMar>
            <w:top w:w="0" w:type="dxa"/>
            <w:left w:w="108" w:type="dxa"/>
            <w:bottom w:w="0" w:type="dxa"/>
            <w:right w:w="108" w:type="dxa"/>
          </w:tblCellMar>
        </w:tblPrEx>
        <w:trPr>
          <w:trHeight w:val="978" w:hRule="atLeast"/>
        </w:trPr>
        <w:tc>
          <w:tcPr>
            <w:tcW w:w="887" w:type="dxa"/>
            <w:tcBorders>
              <w:top w:val="nil"/>
              <w:left w:val="single" w:color="auto" w:sz="4" w:space="0"/>
              <w:bottom w:val="single" w:color="auto" w:sz="4" w:space="0"/>
              <w:right w:val="single" w:color="auto" w:sz="4" w:space="0"/>
            </w:tcBorders>
            <w:noWrap w:val="0"/>
            <w:vAlign w:val="center"/>
          </w:tcPr>
          <w:p w14:paraId="16C1A7D3">
            <w:pPr>
              <w:kinsoku/>
              <w:autoSpaceDE/>
              <w:autoSpaceDN/>
              <w:adjustRightInd/>
              <w:snapToGrid/>
              <w:jc w:val="center"/>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15</w:t>
            </w:r>
          </w:p>
        </w:tc>
        <w:tc>
          <w:tcPr>
            <w:tcW w:w="3912" w:type="dxa"/>
            <w:tcBorders>
              <w:top w:val="nil"/>
              <w:left w:val="nil"/>
              <w:bottom w:val="single" w:color="auto" w:sz="4" w:space="0"/>
              <w:right w:val="single" w:color="auto" w:sz="4" w:space="0"/>
            </w:tcBorders>
            <w:noWrap w:val="0"/>
            <w:vAlign w:val="center"/>
          </w:tcPr>
          <w:p w14:paraId="3FC0BEC1">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设备设施维护保养不符合要求的；1、未对设备、设施、厨具、餐具进行常规维护保养，确保其安全合理使用的；2、重点部位清洗未建立台账，清洗不符合要求的，如：烟机、烟道定期清洗。</w:t>
            </w:r>
          </w:p>
        </w:tc>
        <w:tc>
          <w:tcPr>
            <w:tcW w:w="2016" w:type="dxa"/>
            <w:tcBorders>
              <w:top w:val="nil"/>
              <w:left w:val="nil"/>
              <w:bottom w:val="single" w:color="auto" w:sz="4" w:space="0"/>
              <w:right w:val="single" w:color="auto" w:sz="4" w:space="0"/>
            </w:tcBorders>
            <w:noWrap w:val="0"/>
            <w:vAlign w:val="center"/>
          </w:tcPr>
          <w:p w14:paraId="12C87644">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发现一项每次扣1分</w:t>
            </w:r>
          </w:p>
        </w:tc>
        <w:tc>
          <w:tcPr>
            <w:tcW w:w="851" w:type="dxa"/>
            <w:tcBorders>
              <w:top w:val="nil"/>
              <w:left w:val="nil"/>
              <w:bottom w:val="single" w:color="auto" w:sz="4" w:space="0"/>
              <w:right w:val="single" w:color="auto" w:sz="4" w:space="0"/>
            </w:tcBorders>
            <w:noWrap/>
            <w:vAlign w:val="center"/>
          </w:tcPr>
          <w:p w14:paraId="5AA28FFC">
            <w:pPr>
              <w:kinsoku/>
              <w:autoSpaceDE/>
              <w:autoSpaceDN/>
              <w:adjustRightInd/>
              <w:snapToGrid/>
              <w:jc w:val="center"/>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5</w:t>
            </w:r>
          </w:p>
        </w:tc>
        <w:tc>
          <w:tcPr>
            <w:tcW w:w="709" w:type="dxa"/>
            <w:tcBorders>
              <w:top w:val="nil"/>
              <w:left w:val="nil"/>
              <w:bottom w:val="single" w:color="auto" w:sz="4" w:space="0"/>
              <w:right w:val="single" w:color="auto" w:sz="4" w:space="0"/>
            </w:tcBorders>
            <w:noWrap/>
            <w:vAlign w:val="center"/>
          </w:tcPr>
          <w:p w14:paraId="2E7053AC">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c>
          <w:tcPr>
            <w:tcW w:w="801" w:type="dxa"/>
            <w:tcBorders>
              <w:top w:val="nil"/>
              <w:left w:val="nil"/>
              <w:bottom w:val="single" w:color="auto" w:sz="4" w:space="0"/>
              <w:right w:val="single" w:color="auto" w:sz="4" w:space="0"/>
            </w:tcBorders>
            <w:noWrap/>
            <w:vAlign w:val="center"/>
          </w:tcPr>
          <w:p w14:paraId="10C9D8CD">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r>
      <w:tr w14:paraId="5C184D2B">
        <w:tblPrEx>
          <w:tblCellMar>
            <w:top w:w="0" w:type="dxa"/>
            <w:left w:w="108" w:type="dxa"/>
            <w:bottom w:w="0" w:type="dxa"/>
            <w:right w:w="108" w:type="dxa"/>
          </w:tblCellMar>
        </w:tblPrEx>
        <w:trPr>
          <w:trHeight w:val="1061" w:hRule="atLeast"/>
        </w:trPr>
        <w:tc>
          <w:tcPr>
            <w:tcW w:w="887" w:type="dxa"/>
            <w:tcBorders>
              <w:top w:val="nil"/>
              <w:left w:val="single" w:color="auto" w:sz="4" w:space="0"/>
              <w:bottom w:val="single" w:color="auto" w:sz="4" w:space="0"/>
              <w:right w:val="single" w:color="auto" w:sz="4" w:space="0"/>
            </w:tcBorders>
            <w:noWrap w:val="0"/>
            <w:vAlign w:val="center"/>
          </w:tcPr>
          <w:p w14:paraId="6E6B2987">
            <w:pPr>
              <w:kinsoku/>
              <w:autoSpaceDE/>
              <w:autoSpaceDN/>
              <w:adjustRightInd/>
              <w:snapToGrid/>
              <w:jc w:val="center"/>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16</w:t>
            </w:r>
          </w:p>
        </w:tc>
        <w:tc>
          <w:tcPr>
            <w:tcW w:w="3912" w:type="dxa"/>
            <w:tcBorders>
              <w:top w:val="nil"/>
              <w:left w:val="nil"/>
              <w:bottom w:val="single" w:color="auto" w:sz="4" w:space="0"/>
              <w:right w:val="single" w:color="auto" w:sz="4" w:space="0"/>
            </w:tcBorders>
            <w:noWrap w:val="0"/>
            <w:vAlign w:val="center"/>
          </w:tcPr>
          <w:p w14:paraId="7FECD097">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节能用水用电管理不到位的，造成非必要的用水用电、严禁非必要的长开灯、空调、风扇、风机等，严禁长流水等造成能源损耗。</w:t>
            </w:r>
          </w:p>
        </w:tc>
        <w:tc>
          <w:tcPr>
            <w:tcW w:w="2016" w:type="dxa"/>
            <w:tcBorders>
              <w:top w:val="nil"/>
              <w:left w:val="nil"/>
              <w:bottom w:val="single" w:color="auto" w:sz="4" w:space="0"/>
              <w:right w:val="single" w:color="auto" w:sz="4" w:space="0"/>
            </w:tcBorders>
            <w:noWrap w:val="0"/>
            <w:vAlign w:val="center"/>
          </w:tcPr>
          <w:p w14:paraId="7C5BD76E">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发现每次扣1分</w:t>
            </w:r>
          </w:p>
        </w:tc>
        <w:tc>
          <w:tcPr>
            <w:tcW w:w="851" w:type="dxa"/>
            <w:tcBorders>
              <w:top w:val="nil"/>
              <w:left w:val="nil"/>
              <w:bottom w:val="single" w:color="auto" w:sz="4" w:space="0"/>
              <w:right w:val="single" w:color="auto" w:sz="4" w:space="0"/>
            </w:tcBorders>
            <w:noWrap/>
            <w:vAlign w:val="center"/>
          </w:tcPr>
          <w:p w14:paraId="18ED7073">
            <w:pPr>
              <w:kinsoku/>
              <w:autoSpaceDE/>
              <w:autoSpaceDN/>
              <w:adjustRightInd/>
              <w:snapToGrid/>
              <w:jc w:val="center"/>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5</w:t>
            </w:r>
          </w:p>
        </w:tc>
        <w:tc>
          <w:tcPr>
            <w:tcW w:w="709" w:type="dxa"/>
            <w:tcBorders>
              <w:top w:val="nil"/>
              <w:left w:val="nil"/>
              <w:bottom w:val="single" w:color="auto" w:sz="4" w:space="0"/>
              <w:right w:val="single" w:color="auto" w:sz="4" w:space="0"/>
            </w:tcBorders>
            <w:noWrap/>
            <w:vAlign w:val="center"/>
          </w:tcPr>
          <w:p w14:paraId="5B86684D">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c>
          <w:tcPr>
            <w:tcW w:w="801" w:type="dxa"/>
            <w:tcBorders>
              <w:top w:val="nil"/>
              <w:left w:val="nil"/>
              <w:bottom w:val="single" w:color="auto" w:sz="4" w:space="0"/>
              <w:right w:val="single" w:color="auto" w:sz="4" w:space="0"/>
            </w:tcBorders>
            <w:noWrap/>
            <w:vAlign w:val="center"/>
          </w:tcPr>
          <w:p w14:paraId="6A4E3009">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r>
      <w:tr w14:paraId="2039DCFA">
        <w:tblPrEx>
          <w:tblCellMar>
            <w:top w:w="0" w:type="dxa"/>
            <w:left w:w="108" w:type="dxa"/>
            <w:bottom w:w="0" w:type="dxa"/>
            <w:right w:w="108" w:type="dxa"/>
          </w:tblCellMar>
        </w:tblPrEx>
        <w:trPr>
          <w:trHeight w:val="821" w:hRule="atLeast"/>
        </w:trPr>
        <w:tc>
          <w:tcPr>
            <w:tcW w:w="887" w:type="dxa"/>
            <w:tcBorders>
              <w:top w:val="nil"/>
              <w:left w:val="single" w:color="auto" w:sz="4" w:space="0"/>
              <w:bottom w:val="single" w:color="auto" w:sz="4" w:space="0"/>
              <w:right w:val="single" w:color="auto" w:sz="4" w:space="0"/>
            </w:tcBorders>
            <w:noWrap w:val="0"/>
            <w:vAlign w:val="center"/>
          </w:tcPr>
          <w:p w14:paraId="20F33CA5">
            <w:pPr>
              <w:kinsoku/>
              <w:autoSpaceDE/>
              <w:autoSpaceDN/>
              <w:adjustRightInd/>
              <w:snapToGrid/>
              <w:jc w:val="center"/>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17</w:t>
            </w:r>
          </w:p>
        </w:tc>
        <w:tc>
          <w:tcPr>
            <w:tcW w:w="3912" w:type="dxa"/>
            <w:tcBorders>
              <w:top w:val="nil"/>
              <w:left w:val="nil"/>
              <w:bottom w:val="single" w:color="auto" w:sz="4" w:space="0"/>
              <w:right w:val="single" w:color="auto" w:sz="4" w:space="0"/>
            </w:tcBorders>
            <w:noWrap w:val="0"/>
            <w:vAlign w:val="center"/>
          </w:tcPr>
          <w:p w14:paraId="38F5C55D">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cs="宋体"/>
                <w:color w:val="auto"/>
                <w:sz w:val="18"/>
                <w:szCs w:val="18"/>
                <w:highlight w:val="none"/>
                <w:lang w:val="en-US" w:eastAsia="zh-CN"/>
              </w:rPr>
              <w:t>满意度调查评价结果满意率需达到90%及以上，85%</w:t>
            </w:r>
            <w:r>
              <w:rPr>
                <w:rFonts w:hint="eastAsia" w:ascii="宋体" w:hAnsi="宋体" w:eastAsia="宋体" w:cs="宋体"/>
                <w:color w:val="auto"/>
                <w:sz w:val="18"/>
                <w:szCs w:val="18"/>
                <w:highlight w:val="none"/>
                <w:lang w:val="en-US" w:eastAsia="zh-CN"/>
              </w:rPr>
              <w:t>≦</w:t>
            </w:r>
            <w:r>
              <w:rPr>
                <w:rFonts w:hint="eastAsia" w:ascii="宋体" w:hAnsi="宋体" w:cs="宋体"/>
                <w:color w:val="auto"/>
                <w:sz w:val="18"/>
                <w:szCs w:val="18"/>
                <w:highlight w:val="none"/>
                <w:lang w:val="en-US" w:eastAsia="zh-CN"/>
              </w:rPr>
              <w:t>满意率＜90%扣2分，80%</w:t>
            </w:r>
            <w:r>
              <w:rPr>
                <w:rFonts w:hint="eastAsia" w:ascii="宋体" w:hAnsi="宋体" w:eastAsia="宋体" w:cs="宋体"/>
                <w:color w:val="auto"/>
                <w:sz w:val="18"/>
                <w:szCs w:val="18"/>
                <w:highlight w:val="none"/>
                <w:lang w:val="en-US" w:eastAsia="zh-CN"/>
              </w:rPr>
              <w:t>≦</w:t>
            </w:r>
            <w:r>
              <w:rPr>
                <w:rFonts w:hint="eastAsia" w:ascii="宋体" w:hAnsi="宋体" w:cs="宋体"/>
                <w:color w:val="auto"/>
                <w:sz w:val="18"/>
                <w:szCs w:val="18"/>
                <w:highlight w:val="none"/>
                <w:lang w:val="en-US" w:eastAsia="zh-CN"/>
              </w:rPr>
              <w:t>满意率＜85%扣4分，满意率＜80%扣6分</w:t>
            </w:r>
          </w:p>
        </w:tc>
        <w:tc>
          <w:tcPr>
            <w:tcW w:w="2016" w:type="dxa"/>
            <w:tcBorders>
              <w:top w:val="nil"/>
              <w:left w:val="nil"/>
              <w:bottom w:val="single" w:color="auto" w:sz="4" w:space="0"/>
              <w:right w:val="single" w:color="auto" w:sz="4" w:space="0"/>
            </w:tcBorders>
            <w:noWrap w:val="0"/>
            <w:vAlign w:val="center"/>
          </w:tcPr>
          <w:p w14:paraId="12FE1BFF">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每个问题每次扣2分</w:t>
            </w:r>
          </w:p>
        </w:tc>
        <w:tc>
          <w:tcPr>
            <w:tcW w:w="851" w:type="dxa"/>
            <w:tcBorders>
              <w:top w:val="nil"/>
              <w:left w:val="nil"/>
              <w:bottom w:val="single" w:color="auto" w:sz="4" w:space="0"/>
              <w:right w:val="single" w:color="auto" w:sz="4" w:space="0"/>
            </w:tcBorders>
            <w:noWrap/>
            <w:vAlign w:val="center"/>
          </w:tcPr>
          <w:p w14:paraId="6A9FC9C7">
            <w:pPr>
              <w:kinsoku/>
              <w:autoSpaceDE/>
              <w:autoSpaceDN/>
              <w:adjustRightInd/>
              <w:snapToGrid/>
              <w:jc w:val="center"/>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6</w:t>
            </w:r>
          </w:p>
        </w:tc>
        <w:tc>
          <w:tcPr>
            <w:tcW w:w="709" w:type="dxa"/>
            <w:tcBorders>
              <w:top w:val="nil"/>
              <w:left w:val="nil"/>
              <w:bottom w:val="single" w:color="auto" w:sz="4" w:space="0"/>
              <w:right w:val="single" w:color="auto" w:sz="4" w:space="0"/>
            </w:tcBorders>
            <w:noWrap/>
            <w:vAlign w:val="center"/>
          </w:tcPr>
          <w:p w14:paraId="4205B1E4">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c>
          <w:tcPr>
            <w:tcW w:w="801" w:type="dxa"/>
            <w:tcBorders>
              <w:top w:val="nil"/>
              <w:left w:val="nil"/>
              <w:bottom w:val="single" w:color="auto" w:sz="4" w:space="0"/>
              <w:right w:val="single" w:color="auto" w:sz="4" w:space="0"/>
            </w:tcBorders>
            <w:noWrap/>
            <w:vAlign w:val="center"/>
          </w:tcPr>
          <w:p w14:paraId="4B32A447">
            <w:pPr>
              <w:kinsoku/>
              <w:autoSpaceDE/>
              <w:autoSpaceDN/>
              <w:adjustRightInd/>
              <w:snapToGrid/>
              <w:jc w:val="center"/>
              <w:textAlignment w:val="auto"/>
              <w:rPr>
                <w:rFonts w:ascii="宋体" w:hAnsi="宋体" w:eastAsia="宋体" w:cs="宋体"/>
                <w:snapToGrid/>
                <w:color w:val="auto"/>
                <w:sz w:val="18"/>
                <w:szCs w:val="18"/>
                <w:highlight w:val="none"/>
                <w:lang w:eastAsia="zh-CN"/>
              </w:rPr>
            </w:pPr>
          </w:p>
        </w:tc>
      </w:tr>
      <w:tr w14:paraId="54A37E1D">
        <w:tblPrEx>
          <w:tblCellMar>
            <w:top w:w="0" w:type="dxa"/>
            <w:left w:w="108" w:type="dxa"/>
            <w:bottom w:w="0" w:type="dxa"/>
            <w:right w:w="108" w:type="dxa"/>
          </w:tblCellMar>
        </w:tblPrEx>
        <w:trPr>
          <w:trHeight w:val="704" w:hRule="atLeast"/>
        </w:trPr>
        <w:tc>
          <w:tcPr>
            <w:tcW w:w="887" w:type="dxa"/>
            <w:tcBorders>
              <w:top w:val="nil"/>
              <w:left w:val="single" w:color="auto" w:sz="4" w:space="0"/>
              <w:bottom w:val="single" w:color="auto" w:sz="4" w:space="0"/>
              <w:right w:val="single" w:color="auto" w:sz="4" w:space="0"/>
            </w:tcBorders>
            <w:noWrap w:val="0"/>
            <w:vAlign w:val="center"/>
          </w:tcPr>
          <w:p w14:paraId="27485DEC">
            <w:pPr>
              <w:kinsoku/>
              <w:autoSpaceDE/>
              <w:autoSpaceDN/>
              <w:adjustRightInd/>
              <w:snapToGrid/>
              <w:jc w:val="center"/>
              <w:textAlignment w:val="auto"/>
              <w:rPr>
                <w:rFonts w:hint="default" w:ascii="宋体" w:hAnsi="宋体" w:eastAsia="宋体" w:cs="宋体"/>
                <w:b/>
                <w:bCs/>
                <w:snapToGrid/>
                <w:color w:val="auto"/>
                <w:sz w:val="18"/>
                <w:szCs w:val="18"/>
                <w:highlight w:val="none"/>
                <w:lang w:val="en-US" w:eastAsia="zh-CN"/>
              </w:rPr>
            </w:pPr>
            <w:r>
              <w:rPr>
                <w:rFonts w:hint="eastAsia" w:ascii="宋体" w:hAnsi="宋体" w:eastAsia="宋体" w:cs="宋体"/>
                <w:b/>
                <w:bCs/>
                <w:snapToGrid/>
                <w:color w:val="auto"/>
                <w:sz w:val="18"/>
                <w:szCs w:val="18"/>
                <w:highlight w:val="none"/>
                <w:lang w:val="en-US" w:eastAsia="zh-CN"/>
              </w:rPr>
              <w:t>18</w:t>
            </w:r>
          </w:p>
        </w:tc>
        <w:tc>
          <w:tcPr>
            <w:tcW w:w="3912" w:type="dxa"/>
            <w:tcBorders>
              <w:top w:val="nil"/>
              <w:left w:val="nil"/>
              <w:bottom w:val="single" w:color="auto" w:sz="4" w:space="0"/>
              <w:right w:val="single" w:color="auto" w:sz="4" w:space="0"/>
            </w:tcBorders>
            <w:noWrap w:val="0"/>
            <w:vAlign w:val="center"/>
          </w:tcPr>
          <w:p w14:paraId="68593059">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其他（存在考核表上没有提及的其他问题）</w:t>
            </w:r>
          </w:p>
        </w:tc>
        <w:tc>
          <w:tcPr>
            <w:tcW w:w="2016" w:type="dxa"/>
            <w:tcBorders>
              <w:top w:val="nil"/>
              <w:left w:val="nil"/>
              <w:bottom w:val="single" w:color="auto" w:sz="4" w:space="0"/>
              <w:right w:val="single" w:color="auto" w:sz="4" w:space="0"/>
            </w:tcBorders>
            <w:noWrap w:val="0"/>
            <w:vAlign w:val="center"/>
          </w:tcPr>
          <w:p w14:paraId="4C77EE49">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发现一项每次扣1分。</w:t>
            </w:r>
          </w:p>
        </w:tc>
        <w:tc>
          <w:tcPr>
            <w:tcW w:w="851" w:type="dxa"/>
            <w:tcBorders>
              <w:top w:val="nil"/>
              <w:left w:val="nil"/>
              <w:bottom w:val="single" w:color="auto" w:sz="4" w:space="0"/>
              <w:right w:val="single" w:color="auto" w:sz="4" w:space="0"/>
            </w:tcBorders>
            <w:noWrap/>
            <w:vAlign w:val="center"/>
          </w:tcPr>
          <w:p w14:paraId="314E792E">
            <w:pPr>
              <w:kinsoku/>
              <w:autoSpaceDE/>
              <w:autoSpaceDN/>
              <w:adjustRightInd/>
              <w:snapToGrid/>
              <w:jc w:val="center"/>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6</w:t>
            </w:r>
          </w:p>
        </w:tc>
        <w:tc>
          <w:tcPr>
            <w:tcW w:w="709" w:type="dxa"/>
            <w:tcBorders>
              <w:top w:val="nil"/>
              <w:left w:val="nil"/>
              <w:bottom w:val="single" w:color="auto" w:sz="4" w:space="0"/>
              <w:right w:val="single" w:color="auto" w:sz="4" w:space="0"/>
            </w:tcBorders>
            <w:noWrap/>
            <w:vAlign w:val="center"/>
          </w:tcPr>
          <w:p w14:paraId="2024A30A">
            <w:pPr>
              <w:kinsoku/>
              <w:autoSpaceDE/>
              <w:autoSpaceDN/>
              <w:adjustRightInd/>
              <w:snapToGrid/>
              <w:textAlignment w:val="auto"/>
              <w:rPr>
                <w:rFonts w:ascii="宋体" w:hAnsi="宋体" w:eastAsia="宋体" w:cs="宋体"/>
                <w:snapToGrid/>
                <w:color w:val="auto"/>
                <w:sz w:val="18"/>
                <w:szCs w:val="18"/>
                <w:highlight w:val="none"/>
                <w:lang w:eastAsia="zh-CN"/>
              </w:rPr>
            </w:pPr>
          </w:p>
        </w:tc>
        <w:tc>
          <w:tcPr>
            <w:tcW w:w="801" w:type="dxa"/>
            <w:tcBorders>
              <w:top w:val="nil"/>
              <w:left w:val="nil"/>
              <w:bottom w:val="single" w:color="auto" w:sz="4" w:space="0"/>
              <w:right w:val="single" w:color="auto" w:sz="4" w:space="0"/>
            </w:tcBorders>
            <w:noWrap/>
            <w:vAlign w:val="center"/>
          </w:tcPr>
          <w:p w14:paraId="31CBB7C2">
            <w:pPr>
              <w:kinsoku/>
              <w:autoSpaceDE/>
              <w:autoSpaceDN/>
              <w:adjustRightInd/>
              <w:snapToGrid/>
              <w:jc w:val="center"/>
              <w:textAlignment w:val="auto"/>
              <w:rPr>
                <w:rFonts w:ascii="宋体" w:hAnsi="宋体" w:eastAsia="宋体" w:cs="宋体"/>
                <w:snapToGrid/>
                <w:color w:val="auto"/>
                <w:sz w:val="18"/>
                <w:szCs w:val="18"/>
                <w:highlight w:val="none"/>
                <w:lang w:eastAsia="zh-CN"/>
              </w:rPr>
            </w:pPr>
          </w:p>
        </w:tc>
      </w:tr>
      <w:tr w14:paraId="2F95F106">
        <w:tblPrEx>
          <w:tblCellMar>
            <w:top w:w="0" w:type="dxa"/>
            <w:left w:w="108" w:type="dxa"/>
            <w:bottom w:w="0" w:type="dxa"/>
            <w:right w:w="108" w:type="dxa"/>
          </w:tblCellMar>
        </w:tblPrEx>
        <w:trPr>
          <w:trHeight w:val="659" w:hRule="atLeast"/>
        </w:trPr>
        <w:tc>
          <w:tcPr>
            <w:tcW w:w="887" w:type="dxa"/>
            <w:tcBorders>
              <w:top w:val="nil"/>
              <w:left w:val="single" w:color="auto" w:sz="4" w:space="0"/>
              <w:bottom w:val="single" w:color="auto" w:sz="4" w:space="0"/>
              <w:right w:val="single" w:color="auto" w:sz="4" w:space="0"/>
            </w:tcBorders>
            <w:noWrap/>
            <w:vAlign w:val="center"/>
          </w:tcPr>
          <w:p w14:paraId="47694E7D">
            <w:pPr>
              <w:kinsoku/>
              <w:autoSpaceDE/>
              <w:autoSpaceDN/>
              <w:adjustRightInd/>
              <w:snapToGrid/>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总分</w:t>
            </w:r>
          </w:p>
        </w:tc>
        <w:tc>
          <w:tcPr>
            <w:tcW w:w="5928" w:type="dxa"/>
            <w:gridSpan w:val="2"/>
            <w:tcBorders>
              <w:top w:val="single" w:color="auto" w:sz="4" w:space="0"/>
              <w:left w:val="nil"/>
              <w:bottom w:val="single" w:color="auto" w:sz="4" w:space="0"/>
              <w:right w:val="single" w:color="auto" w:sz="4" w:space="0"/>
            </w:tcBorders>
            <w:noWrap w:val="0"/>
            <w:vAlign w:val="center"/>
          </w:tcPr>
          <w:p w14:paraId="7B0C5707">
            <w:pPr>
              <w:kinsoku/>
              <w:autoSpaceDE/>
              <w:autoSpaceDN/>
              <w:adjustRightInd/>
              <w:snapToGrid/>
              <w:textAlignment w:val="auto"/>
              <w:rPr>
                <w:rFonts w:ascii="宋体" w:hAnsi="宋体" w:eastAsia="宋体" w:cs="宋体"/>
                <w:b/>
                <w:bCs/>
                <w:snapToGrid/>
                <w:color w:val="auto"/>
                <w:sz w:val="18"/>
                <w:szCs w:val="18"/>
                <w:highlight w:val="none"/>
                <w:lang w:eastAsia="zh-CN"/>
              </w:rPr>
            </w:pPr>
            <w:r>
              <w:rPr>
                <w:rFonts w:hint="eastAsia" w:ascii="宋体" w:hAnsi="宋体" w:eastAsia="宋体" w:cs="宋体"/>
                <w:b/>
                <w:bCs/>
                <w:snapToGrid/>
                <w:color w:val="auto"/>
                <w:sz w:val="18"/>
                <w:szCs w:val="18"/>
                <w:highlight w:val="none"/>
                <w:lang w:eastAsia="zh-CN"/>
              </w:rPr>
              <w:t>　</w:t>
            </w:r>
          </w:p>
        </w:tc>
        <w:tc>
          <w:tcPr>
            <w:tcW w:w="851" w:type="dxa"/>
            <w:tcBorders>
              <w:top w:val="nil"/>
              <w:left w:val="nil"/>
              <w:bottom w:val="single" w:color="auto" w:sz="4" w:space="0"/>
              <w:right w:val="single" w:color="auto" w:sz="4" w:space="0"/>
            </w:tcBorders>
            <w:noWrap/>
            <w:vAlign w:val="center"/>
          </w:tcPr>
          <w:p w14:paraId="17F12BEC">
            <w:pPr>
              <w:kinsoku/>
              <w:autoSpaceDE/>
              <w:autoSpaceDN/>
              <w:adjustRightInd/>
              <w:snapToGrid/>
              <w:jc w:val="center"/>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100</w:t>
            </w:r>
          </w:p>
        </w:tc>
        <w:tc>
          <w:tcPr>
            <w:tcW w:w="709" w:type="dxa"/>
            <w:tcBorders>
              <w:top w:val="nil"/>
              <w:left w:val="nil"/>
              <w:bottom w:val="single" w:color="auto" w:sz="4" w:space="0"/>
              <w:right w:val="single" w:color="auto" w:sz="4" w:space="0"/>
            </w:tcBorders>
            <w:noWrap/>
            <w:vAlign w:val="center"/>
          </w:tcPr>
          <w:p w14:paraId="73C70AE4">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c>
          <w:tcPr>
            <w:tcW w:w="801" w:type="dxa"/>
            <w:tcBorders>
              <w:top w:val="nil"/>
              <w:left w:val="nil"/>
              <w:bottom w:val="single" w:color="auto" w:sz="4" w:space="0"/>
              <w:right w:val="single" w:color="auto" w:sz="4" w:space="0"/>
            </w:tcBorders>
            <w:noWrap/>
            <w:vAlign w:val="center"/>
          </w:tcPr>
          <w:p w14:paraId="527AB9C0">
            <w:pPr>
              <w:kinsoku/>
              <w:autoSpaceDE/>
              <w:autoSpaceDN/>
              <w:adjustRightInd/>
              <w:snapToGrid/>
              <w:textAlignment w:val="auto"/>
              <w:rPr>
                <w:rFonts w:ascii="宋体" w:hAnsi="宋体" w:eastAsia="宋体" w:cs="宋体"/>
                <w:snapToGrid/>
                <w:color w:val="auto"/>
                <w:sz w:val="18"/>
                <w:szCs w:val="18"/>
                <w:highlight w:val="none"/>
                <w:lang w:eastAsia="zh-CN"/>
              </w:rPr>
            </w:pPr>
            <w:r>
              <w:rPr>
                <w:rFonts w:hint="eastAsia" w:ascii="宋体" w:hAnsi="宋体" w:eastAsia="宋体" w:cs="宋体"/>
                <w:snapToGrid/>
                <w:color w:val="auto"/>
                <w:sz w:val="18"/>
                <w:szCs w:val="18"/>
                <w:highlight w:val="none"/>
                <w:lang w:eastAsia="zh-CN"/>
              </w:rPr>
              <w:t>　</w:t>
            </w:r>
          </w:p>
        </w:tc>
      </w:tr>
      <w:tr w14:paraId="2B671054">
        <w:tblPrEx>
          <w:tblCellMar>
            <w:top w:w="0" w:type="dxa"/>
            <w:left w:w="108" w:type="dxa"/>
            <w:bottom w:w="0" w:type="dxa"/>
            <w:right w:w="108" w:type="dxa"/>
          </w:tblCellMar>
        </w:tblPrEx>
        <w:trPr>
          <w:trHeight w:val="761" w:hRule="atLeast"/>
        </w:trPr>
        <w:tc>
          <w:tcPr>
            <w:tcW w:w="9176" w:type="dxa"/>
            <w:gridSpan w:val="6"/>
            <w:tcBorders>
              <w:top w:val="nil"/>
              <w:left w:val="nil"/>
              <w:bottom w:val="nil"/>
              <w:right w:val="nil"/>
            </w:tcBorders>
            <w:noWrap/>
            <w:vAlign w:val="center"/>
          </w:tcPr>
          <w:p w14:paraId="3C2D521D">
            <w:pPr>
              <w:kinsoku/>
              <w:autoSpaceDE/>
              <w:autoSpaceDN/>
              <w:adjustRightInd/>
              <w:snapToGrid/>
              <w:textAlignment w:val="auto"/>
              <w:rPr>
                <w:rFonts w:ascii="宋体" w:hAnsi="宋体" w:eastAsia="宋体" w:cs="宋体"/>
                <w:b/>
                <w:bCs/>
                <w:snapToGrid/>
                <w:color w:val="auto"/>
                <w:sz w:val="22"/>
                <w:highlight w:val="none"/>
                <w:lang w:eastAsia="zh-CN"/>
              </w:rPr>
            </w:pPr>
            <w:r>
              <w:rPr>
                <w:rFonts w:hint="eastAsia" w:ascii="宋体" w:hAnsi="宋体" w:eastAsia="宋体" w:cs="宋体"/>
                <w:b/>
                <w:bCs/>
                <w:snapToGrid/>
                <w:color w:val="auto"/>
                <w:sz w:val="22"/>
                <w:szCs w:val="22"/>
                <w:highlight w:val="none"/>
                <w:lang w:eastAsia="zh-CN"/>
              </w:rPr>
              <w:t>考核人：               饭堂负责人：                 考核时间：     年  月  日</w:t>
            </w:r>
          </w:p>
        </w:tc>
      </w:tr>
    </w:tbl>
    <w:p w14:paraId="1E8D09F3">
      <w:pPr>
        <w:pageBreakBefore w:val="0"/>
        <w:widowControl w:val="0"/>
        <w:kinsoku/>
        <w:wordWrap/>
        <w:overflowPunct/>
        <w:topLinePunct w:val="0"/>
        <w:bidi w:val="0"/>
        <w:spacing w:line="480" w:lineRule="exact"/>
        <w:ind w:firstLine="480" w:firstLineChars="200"/>
        <w:textAlignment w:val="auto"/>
        <w:rPr>
          <w:rFonts w:hint="eastAsia" w:ascii="仿宋_GB2312" w:hAnsi="仿宋_GB2312" w:eastAsia="仿宋_GB2312" w:cs="仿宋_GB2312"/>
          <w:sz w:val="24"/>
          <w:szCs w:val="24"/>
          <w:lang w:val="en-US" w:eastAsia="zh-CN"/>
        </w:rPr>
      </w:pPr>
    </w:p>
    <w:p w14:paraId="56DBAE5E">
      <w:pPr>
        <w:pStyle w:val="6"/>
        <w:tabs>
          <w:tab w:val="left" w:pos="312"/>
        </w:tabs>
        <w:spacing w:before="134" w:line="325" w:lineRule="auto"/>
        <w:ind w:left="710" w:right="430"/>
        <w:rPr>
          <w:spacing w:val="11"/>
          <w:sz w:val="21"/>
          <w:szCs w:val="21"/>
          <w:lang w:eastAsia="zh-CN"/>
        </w:rPr>
      </w:pPr>
    </w:p>
    <w:p w14:paraId="44D2FAD3">
      <w:pPr>
        <w:pStyle w:val="6"/>
        <w:tabs>
          <w:tab w:val="left" w:pos="312"/>
        </w:tabs>
        <w:spacing w:before="134" w:line="325" w:lineRule="auto"/>
        <w:ind w:left="710" w:right="430"/>
        <w:rPr>
          <w:rFonts w:hint="eastAsia"/>
          <w:spacing w:val="11"/>
          <w:sz w:val="21"/>
          <w:szCs w:val="21"/>
          <w:lang w:eastAsia="zh-CN"/>
        </w:rPr>
      </w:pPr>
    </w:p>
    <w:p w14:paraId="5160A130">
      <w:pPr>
        <w:pStyle w:val="6"/>
        <w:tabs>
          <w:tab w:val="left" w:pos="312"/>
        </w:tabs>
        <w:spacing w:before="134" w:line="325" w:lineRule="auto"/>
        <w:ind w:left="710" w:right="430"/>
        <w:rPr>
          <w:rFonts w:hint="eastAsia"/>
          <w:spacing w:val="11"/>
          <w:sz w:val="21"/>
          <w:szCs w:val="21"/>
          <w:lang w:eastAsia="zh-CN"/>
        </w:rPr>
      </w:pPr>
    </w:p>
    <w:p w14:paraId="78FAF3D6">
      <w:pPr>
        <w:pStyle w:val="6"/>
        <w:tabs>
          <w:tab w:val="left" w:pos="312"/>
        </w:tabs>
        <w:spacing w:before="134" w:line="325" w:lineRule="auto"/>
        <w:ind w:left="710" w:right="430"/>
        <w:rPr>
          <w:rFonts w:hint="eastAsia"/>
          <w:spacing w:val="11"/>
          <w:sz w:val="21"/>
          <w:szCs w:val="21"/>
          <w:lang w:eastAsia="zh-CN"/>
        </w:rPr>
      </w:pPr>
    </w:p>
    <w:p w14:paraId="0BECC44E">
      <w:pPr>
        <w:pStyle w:val="6"/>
        <w:tabs>
          <w:tab w:val="left" w:pos="312"/>
        </w:tabs>
        <w:spacing w:before="134" w:line="325" w:lineRule="auto"/>
        <w:ind w:left="710" w:right="430"/>
        <w:rPr>
          <w:rFonts w:hint="eastAsia"/>
          <w:spacing w:val="11"/>
          <w:sz w:val="21"/>
          <w:szCs w:val="21"/>
          <w:lang w:eastAsia="zh-CN"/>
        </w:rPr>
      </w:pPr>
    </w:p>
    <w:p w14:paraId="417A81B4">
      <w:pPr>
        <w:pStyle w:val="6"/>
        <w:spacing w:before="134" w:line="325" w:lineRule="auto"/>
        <w:ind w:left="228" w:right="430" w:firstLine="482"/>
        <w:rPr>
          <w:spacing w:val="11"/>
          <w:sz w:val="21"/>
          <w:szCs w:val="21"/>
          <w:lang w:eastAsia="zh-CN"/>
        </w:rPr>
      </w:pPr>
    </w:p>
    <w:p w14:paraId="0BD04CF2">
      <w:pPr>
        <w:pStyle w:val="6"/>
        <w:spacing w:before="134" w:line="325" w:lineRule="auto"/>
        <w:ind w:left="228" w:right="430" w:firstLine="482"/>
        <w:rPr>
          <w:spacing w:val="11"/>
          <w:sz w:val="21"/>
          <w:szCs w:val="21"/>
          <w:lang w:eastAsia="zh-CN"/>
        </w:rPr>
      </w:pPr>
    </w:p>
    <w:p w14:paraId="59D6A44B">
      <w:pPr>
        <w:pStyle w:val="6"/>
        <w:spacing w:before="134" w:line="325" w:lineRule="auto"/>
        <w:ind w:left="228" w:right="430" w:firstLine="482"/>
        <w:rPr>
          <w:spacing w:val="11"/>
          <w:sz w:val="21"/>
          <w:szCs w:val="21"/>
          <w:lang w:eastAsia="zh-CN"/>
        </w:rPr>
      </w:pPr>
    </w:p>
    <w:p w14:paraId="633A20D9">
      <w:pPr>
        <w:pStyle w:val="6"/>
        <w:spacing w:before="134" w:line="325" w:lineRule="auto"/>
        <w:ind w:left="228" w:right="430" w:firstLine="482"/>
        <w:rPr>
          <w:spacing w:val="11"/>
          <w:sz w:val="21"/>
          <w:szCs w:val="21"/>
          <w:lang w:eastAsia="zh-CN"/>
        </w:rPr>
      </w:pPr>
    </w:p>
    <w:p w14:paraId="3B8B032B">
      <w:pPr>
        <w:pStyle w:val="6"/>
        <w:spacing w:before="134" w:line="325" w:lineRule="auto"/>
        <w:ind w:left="228" w:right="430" w:firstLine="482"/>
        <w:rPr>
          <w:spacing w:val="11"/>
          <w:sz w:val="21"/>
          <w:szCs w:val="21"/>
          <w:lang w:eastAsia="zh-CN"/>
        </w:rPr>
      </w:pPr>
    </w:p>
    <w:p w14:paraId="4B81FAF9">
      <w:pPr>
        <w:pStyle w:val="6"/>
        <w:spacing w:before="134" w:line="325" w:lineRule="auto"/>
        <w:ind w:left="228" w:right="430" w:firstLine="482"/>
        <w:rPr>
          <w:spacing w:val="11"/>
          <w:sz w:val="21"/>
          <w:szCs w:val="21"/>
          <w:lang w:eastAsia="zh-CN"/>
        </w:rPr>
      </w:pPr>
    </w:p>
    <w:p w14:paraId="0091478F">
      <w:pPr>
        <w:pStyle w:val="6"/>
        <w:spacing w:before="134" w:line="325" w:lineRule="auto"/>
        <w:ind w:left="0" w:right="430" w:firstLine="0"/>
        <w:jc w:val="both"/>
        <w:rPr>
          <w:spacing w:val="11"/>
          <w:sz w:val="21"/>
          <w:szCs w:val="21"/>
          <w:lang w:eastAsia="zh-CN"/>
        </w:rPr>
      </w:pPr>
    </w:p>
    <w:sectPr>
      <w:footerReference r:id="rId3" w:type="default"/>
      <w:pgSz w:w="11906" w:h="16838"/>
      <w:pgMar w:top="1134" w:right="1094" w:bottom="1134" w:left="123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DE26C9">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BA1F54B">
                          <w:pPr>
                            <w:pStyle w:val="9"/>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2BA1F54B">
                    <w:pPr>
                      <w:pStyle w:val="9"/>
                    </w:pPr>
                    <w:r>
                      <w:fldChar w:fldCharType="begin"/>
                    </w:r>
                    <w:r>
                      <w:instrText xml:space="preserve"> PAGE  \* MERGEFORMAT </w:instrText>
                    </w:r>
                    <w:r>
                      <w:fldChar w:fldCharType="separate"/>
                    </w:r>
                    <w:r>
                      <w:t>6</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hdrShapeDefaults>
    <o:shapelayout v:ext="edit">
      <o:idmap v:ext="edit" data="1"/>
    </o:shapelayout>
  </w:hdrShapeDefaults>
  <w:compat>
    <w:spaceForUL/>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iZTE0YWY4MjI3YzVlMGE0NDkzOGY4M2VmMTM0YzQifQ=="/>
  </w:docVars>
  <w:rsids>
    <w:rsidRoot w:val="00AC5665"/>
    <w:rsid w:val="0000349A"/>
    <w:rsid w:val="00044BEA"/>
    <w:rsid w:val="00063C22"/>
    <w:rsid w:val="00071507"/>
    <w:rsid w:val="000D61E6"/>
    <w:rsid w:val="000E65A0"/>
    <w:rsid w:val="00125B21"/>
    <w:rsid w:val="00170E66"/>
    <w:rsid w:val="001B2251"/>
    <w:rsid w:val="001E52BF"/>
    <w:rsid w:val="002001DC"/>
    <w:rsid w:val="002259E9"/>
    <w:rsid w:val="00281807"/>
    <w:rsid w:val="002F0A72"/>
    <w:rsid w:val="003053DC"/>
    <w:rsid w:val="003B62EC"/>
    <w:rsid w:val="003D6CB0"/>
    <w:rsid w:val="004361AE"/>
    <w:rsid w:val="00436ED8"/>
    <w:rsid w:val="00592607"/>
    <w:rsid w:val="00686345"/>
    <w:rsid w:val="006E73FE"/>
    <w:rsid w:val="006F3125"/>
    <w:rsid w:val="00715A1A"/>
    <w:rsid w:val="00746E7E"/>
    <w:rsid w:val="00783729"/>
    <w:rsid w:val="007A386B"/>
    <w:rsid w:val="00807DAD"/>
    <w:rsid w:val="00944366"/>
    <w:rsid w:val="0095083A"/>
    <w:rsid w:val="00975618"/>
    <w:rsid w:val="00A12296"/>
    <w:rsid w:val="00A27086"/>
    <w:rsid w:val="00A54E9F"/>
    <w:rsid w:val="00A55E18"/>
    <w:rsid w:val="00A674B4"/>
    <w:rsid w:val="00A77A25"/>
    <w:rsid w:val="00A967A2"/>
    <w:rsid w:val="00AB53A9"/>
    <w:rsid w:val="00AC5665"/>
    <w:rsid w:val="00AF14FE"/>
    <w:rsid w:val="00B30978"/>
    <w:rsid w:val="00BE4D49"/>
    <w:rsid w:val="00C77242"/>
    <w:rsid w:val="00CF0CCD"/>
    <w:rsid w:val="00D431DB"/>
    <w:rsid w:val="00D508CD"/>
    <w:rsid w:val="00DA4DCC"/>
    <w:rsid w:val="00E25561"/>
    <w:rsid w:val="00EA7678"/>
    <w:rsid w:val="00EF5D09"/>
    <w:rsid w:val="00F13C16"/>
    <w:rsid w:val="00F5696E"/>
    <w:rsid w:val="00FA6F4F"/>
    <w:rsid w:val="00FC54D7"/>
    <w:rsid w:val="016C1D0B"/>
    <w:rsid w:val="017262FB"/>
    <w:rsid w:val="01A56261"/>
    <w:rsid w:val="023B6BC5"/>
    <w:rsid w:val="026546DF"/>
    <w:rsid w:val="02A912E6"/>
    <w:rsid w:val="043B6FF1"/>
    <w:rsid w:val="053D69B4"/>
    <w:rsid w:val="056E7329"/>
    <w:rsid w:val="05E47CB6"/>
    <w:rsid w:val="061E5F21"/>
    <w:rsid w:val="0653264B"/>
    <w:rsid w:val="06606764"/>
    <w:rsid w:val="0687062B"/>
    <w:rsid w:val="06D06163"/>
    <w:rsid w:val="072B7BCB"/>
    <w:rsid w:val="073347AE"/>
    <w:rsid w:val="07733BB7"/>
    <w:rsid w:val="079E5C2C"/>
    <w:rsid w:val="082838CC"/>
    <w:rsid w:val="082C6016"/>
    <w:rsid w:val="086A4E85"/>
    <w:rsid w:val="086F73A2"/>
    <w:rsid w:val="091E4585"/>
    <w:rsid w:val="09930C36"/>
    <w:rsid w:val="09BE053C"/>
    <w:rsid w:val="09C6602A"/>
    <w:rsid w:val="0A4B7BD3"/>
    <w:rsid w:val="0AD6546D"/>
    <w:rsid w:val="0AE2249E"/>
    <w:rsid w:val="0BAE21B6"/>
    <w:rsid w:val="0C902AFA"/>
    <w:rsid w:val="0C966CED"/>
    <w:rsid w:val="0C9713CE"/>
    <w:rsid w:val="0D047C65"/>
    <w:rsid w:val="0D163D46"/>
    <w:rsid w:val="0D7731A8"/>
    <w:rsid w:val="0DDE2FF3"/>
    <w:rsid w:val="0E19332A"/>
    <w:rsid w:val="0EEA79A9"/>
    <w:rsid w:val="104578F0"/>
    <w:rsid w:val="109D01EE"/>
    <w:rsid w:val="10A16DB2"/>
    <w:rsid w:val="11E26171"/>
    <w:rsid w:val="12143B4C"/>
    <w:rsid w:val="127E4FC4"/>
    <w:rsid w:val="12C277AC"/>
    <w:rsid w:val="12FA7C9C"/>
    <w:rsid w:val="134D0248"/>
    <w:rsid w:val="13771C0F"/>
    <w:rsid w:val="144F3DF5"/>
    <w:rsid w:val="146E6BA1"/>
    <w:rsid w:val="150D2643"/>
    <w:rsid w:val="150E3EBA"/>
    <w:rsid w:val="152233D3"/>
    <w:rsid w:val="158C3568"/>
    <w:rsid w:val="16B820BB"/>
    <w:rsid w:val="17191E72"/>
    <w:rsid w:val="174A666F"/>
    <w:rsid w:val="184D6F90"/>
    <w:rsid w:val="186620F7"/>
    <w:rsid w:val="194A5C14"/>
    <w:rsid w:val="19AC242B"/>
    <w:rsid w:val="19E33973"/>
    <w:rsid w:val="1A503DD3"/>
    <w:rsid w:val="1A751B4A"/>
    <w:rsid w:val="1AFD1337"/>
    <w:rsid w:val="1B0D749E"/>
    <w:rsid w:val="1B3F107D"/>
    <w:rsid w:val="1BA33899"/>
    <w:rsid w:val="1BB7166A"/>
    <w:rsid w:val="1BF92AAF"/>
    <w:rsid w:val="1C281B11"/>
    <w:rsid w:val="1C862838"/>
    <w:rsid w:val="1C9C6787"/>
    <w:rsid w:val="1D0C22E9"/>
    <w:rsid w:val="1D5B1A68"/>
    <w:rsid w:val="1D6316D2"/>
    <w:rsid w:val="1D7F1C04"/>
    <w:rsid w:val="1DA2726D"/>
    <w:rsid w:val="1DE71C83"/>
    <w:rsid w:val="1E365BC0"/>
    <w:rsid w:val="1F040613"/>
    <w:rsid w:val="1F8653CD"/>
    <w:rsid w:val="21380298"/>
    <w:rsid w:val="21426D4B"/>
    <w:rsid w:val="2257732A"/>
    <w:rsid w:val="22B1370A"/>
    <w:rsid w:val="23333275"/>
    <w:rsid w:val="24A800E2"/>
    <w:rsid w:val="2502697A"/>
    <w:rsid w:val="25332721"/>
    <w:rsid w:val="26395046"/>
    <w:rsid w:val="26633E71"/>
    <w:rsid w:val="26B64092"/>
    <w:rsid w:val="26E80CEA"/>
    <w:rsid w:val="26EA5477"/>
    <w:rsid w:val="278A337A"/>
    <w:rsid w:val="27F70004"/>
    <w:rsid w:val="27FC457D"/>
    <w:rsid w:val="28681C13"/>
    <w:rsid w:val="288D6DDD"/>
    <w:rsid w:val="28D4400C"/>
    <w:rsid w:val="28F03CE2"/>
    <w:rsid w:val="297A7E50"/>
    <w:rsid w:val="297C25C7"/>
    <w:rsid w:val="2A44278B"/>
    <w:rsid w:val="2A7221B2"/>
    <w:rsid w:val="2A737BF2"/>
    <w:rsid w:val="2A7437EE"/>
    <w:rsid w:val="2A88034A"/>
    <w:rsid w:val="2B3E6C5B"/>
    <w:rsid w:val="2BA32C8A"/>
    <w:rsid w:val="2BC42687"/>
    <w:rsid w:val="2C92725E"/>
    <w:rsid w:val="2CB418EF"/>
    <w:rsid w:val="2D265014"/>
    <w:rsid w:val="2D344673"/>
    <w:rsid w:val="2D597CD7"/>
    <w:rsid w:val="2DD04D9A"/>
    <w:rsid w:val="2E38529B"/>
    <w:rsid w:val="2E50732C"/>
    <w:rsid w:val="2EAD4823"/>
    <w:rsid w:val="2F72289E"/>
    <w:rsid w:val="3050537D"/>
    <w:rsid w:val="308B2942"/>
    <w:rsid w:val="308C2216"/>
    <w:rsid w:val="31BE6733"/>
    <w:rsid w:val="32332FDC"/>
    <w:rsid w:val="32441335"/>
    <w:rsid w:val="32454D73"/>
    <w:rsid w:val="32853772"/>
    <w:rsid w:val="32FF2EF5"/>
    <w:rsid w:val="33A16676"/>
    <w:rsid w:val="33EB5582"/>
    <w:rsid w:val="34B65AB4"/>
    <w:rsid w:val="34F51A33"/>
    <w:rsid w:val="36237179"/>
    <w:rsid w:val="36E75611"/>
    <w:rsid w:val="38B14F10"/>
    <w:rsid w:val="393B2A2C"/>
    <w:rsid w:val="3960161F"/>
    <w:rsid w:val="39B14948"/>
    <w:rsid w:val="3AAE7CCB"/>
    <w:rsid w:val="3AD92955"/>
    <w:rsid w:val="3B411E01"/>
    <w:rsid w:val="3B50763C"/>
    <w:rsid w:val="3C8D2965"/>
    <w:rsid w:val="3CE02B4B"/>
    <w:rsid w:val="3CF939BB"/>
    <w:rsid w:val="3DDB62B3"/>
    <w:rsid w:val="3DE728C9"/>
    <w:rsid w:val="3EBA43F3"/>
    <w:rsid w:val="3F314176"/>
    <w:rsid w:val="3F8D74B1"/>
    <w:rsid w:val="3FA96941"/>
    <w:rsid w:val="3FD223C5"/>
    <w:rsid w:val="409969B6"/>
    <w:rsid w:val="40D80152"/>
    <w:rsid w:val="40E0247D"/>
    <w:rsid w:val="413A1580"/>
    <w:rsid w:val="4176479D"/>
    <w:rsid w:val="418362DE"/>
    <w:rsid w:val="41D46B00"/>
    <w:rsid w:val="41E16F78"/>
    <w:rsid w:val="429A6A15"/>
    <w:rsid w:val="42DC2872"/>
    <w:rsid w:val="42F517D6"/>
    <w:rsid w:val="430B346F"/>
    <w:rsid w:val="43A03508"/>
    <w:rsid w:val="43D16466"/>
    <w:rsid w:val="43E556D8"/>
    <w:rsid w:val="446C3340"/>
    <w:rsid w:val="44735770"/>
    <w:rsid w:val="44A91191"/>
    <w:rsid w:val="44B010D8"/>
    <w:rsid w:val="44C11D4B"/>
    <w:rsid w:val="45B01BCA"/>
    <w:rsid w:val="45D31D54"/>
    <w:rsid w:val="45F46EE5"/>
    <w:rsid w:val="46D27EBA"/>
    <w:rsid w:val="480B357B"/>
    <w:rsid w:val="48315726"/>
    <w:rsid w:val="48402F8B"/>
    <w:rsid w:val="484160F7"/>
    <w:rsid w:val="486505DD"/>
    <w:rsid w:val="490E3CB9"/>
    <w:rsid w:val="492A3AB4"/>
    <w:rsid w:val="493C67AA"/>
    <w:rsid w:val="4A0A4480"/>
    <w:rsid w:val="4A37438B"/>
    <w:rsid w:val="4B165AA9"/>
    <w:rsid w:val="4B285AAE"/>
    <w:rsid w:val="4B581602"/>
    <w:rsid w:val="4B685DEB"/>
    <w:rsid w:val="4B9378B1"/>
    <w:rsid w:val="4BFB196F"/>
    <w:rsid w:val="4CD2605B"/>
    <w:rsid w:val="4D4F11E5"/>
    <w:rsid w:val="4D844549"/>
    <w:rsid w:val="4DB130B1"/>
    <w:rsid w:val="4F4C026D"/>
    <w:rsid w:val="506F48D5"/>
    <w:rsid w:val="507F12B1"/>
    <w:rsid w:val="50B1796B"/>
    <w:rsid w:val="50E7376D"/>
    <w:rsid w:val="51425815"/>
    <w:rsid w:val="516C0EE1"/>
    <w:rsid w:val="51C062CA"/>
    <w:rsid w:val="52A665A4"/>
    <w:rsid w:val="53940886"/>
    <w:rsid w:val="53B37BD1"/>
    <w:rsid w:val="53F00B8B"/>
    <w:rsid w:val="54863187"/>
    <w:rsid w:val="55250D7B"/>
    <w:rsid w:val="55B72DEB"/>
    <w:rsid w:val="55EA7AFB"/>
    <w:rsid w:val="565076BF"/>
    <w:rsid w:val="56657030"/>
    <w:rsid w:val="57114A80"/>
    <w:rsid w:val="57427149"/>
    <w:rsid w:val="574801A4"/>
    <w:rsid w:val="577744EA"/>
    <w:rsid w:val="58E90431"/>
    <w:rsid w:val="594A4899"/>
    <w:rsid w:val="596F2552"/>
    <w:rsid w:val="599F3521"/>
    <w:rsid w:val="59A31C06"/>
    <w:rsid w:val="5A071358"/>
    <w:rsid w:val="5A144EA7"/>
    <w:rsid w:val="5A7D2A4C"/>
    <w:rsid w:val="5ABF12B7"/>
    <w:rsid w:val="5ACD14E7"/>
    <w:rsid w:val="5B172EA1"/>
    <w:rsid w:val="5B26050C"/>
    <w:rsid w:val="5B8A1038"/>
    <w:rsid w:val="5BEA3A38"/>
    <w:rsid w:val="5C680F4A"/>
    <w:rsid w:val="5CBE6948"/>
    <w:rsid w:val="5D9F2CDA"/>
    <w:rsid w:val="5E295ABD"/>
    <w:rsid w:val="5E341674"/>
    <w:rsid w:val="5E514FD0"/>
    <w:rsid w:val="5E832020"/>
    <w:rsid w:val="5F630FF7"/>
    <w:rsid w:val="5F8A4F84"/>
    <w:rsid w:val="611265DE"/>
    <w:rsid w:val="613A51F3"/>
    <w:rsid w:val="61EE1A7A"/>
    <w:rsid w:val="62781AD2"/>
    <w:rsid w:val="64457CB0"/>
    <w:rsid w:val="66B07D06"/>
    <w:rsid w:val="672F0E41"/>
    <w:rsid w:val="68680898"/>
    <w:rsid w:val="68C53732"/>
    <w:rsid w:val="68E42733"/>
    <w:rsid w:val="6955405E"/>
    <w:rsid w:val="699C7EBB"/>
    <w:rsid w:val="69BD0605"/>
    <w:rsid w:val="6B553F4E"/>
    <w:rsid w:val="6BAD7461"/>
    <w:rsid w:val="6BB051AB"/>
    <w:rsid w:val="6BFD579B"/>
    <w:rsid w:val="6C1D5E3D"/>
    <w:rsid w:val="6C480E00"/>
    <w:rsid w:val="6CFC680C"/>
    <w:rsid w:val="6D2E23E1"/>
    <w:rsid w:val="6E227042"/>
    <w:rsid w:val="6E4E6782"/>
    <w:rsid w:val="6ED0411C"/>
    <w:rsid w:val="6F0F3EFF"/>
    <w:rsid w:val="6FD902CD"/>
    <w:rsid w:val="6FF87359"/>
    <w:rsid w:val="708C6D26"/>
    <w:rsid w:val="71020CEE"/>
    <w:rsid w:val="71182E7B"/>
    <w:rsid w:val="719E7172"/>
    <w:rsid w:val="71DD233A"/>
    <w:rsid w:val="721455EC"/>
    <w:rsid w:val="72857574"/>
    <w:rsid w:val="72A03324"/>
    <w:rsid w:val="72DA4A88"/>
    <w:rsid w:val="73231510"/>
    <w:rsid w:val="73FB0814"/>
    <w:rsid w:val="75197510"/>
    <w:rsid w:val="75906E08"/>
    <w:rsid w:val="75FA55EF"/>
    <w:rsid w:val="76164029"/>
    <w:rsid w:val="76373E18"/>
    <w:rsid w:val="764D5571"/>
    <w:rsid w:val="765F71A8"/>
    <w:rsid w:val="774D0D35"/>
    <w:rsid w:val="77756B2D"/>
    <w:rsid w:val="77E61642"/>
    <w:rsid w:val="77F5069A"/>
    <w:rsid w:val="78A8221F"/>
    <w:rsid w:val="78AA0A59"/>
    <w:rsid w:val="78BC5485"/>
    <w:rsid w:val="79183FF6"/>
    <w:rsid w:val="79224F0E"/>
    <w:rsid w:val="79A95A5C"/>
    <w:rsid w:val="7A5925F9"/>
    <w:rsid w:val="7AB42D4D"/>
    <w:rsid w:val="7B3220F6"/>
    <w:rsid w:val="7B3300CF"/>
    <w:rsid w:val="7B3737C2"/>
    <w:rsid w:val="7BA64BF5"/>
    <w:rsid w:val="7BDC361F"/>
    <w:rsid w:val="7C673EA7"/>
    <w:rsid w:val="7C853B44"/>
    <w:rsid w:val="7CF14EA8"/>
    <w:rsid w:val="7D396FE4"/>
    <w:rsid w:val="7D4E6B97"/>
    <w:rsid w:val="7D761F57"/>
    <w:rsid w:val="7E8E3002"/>
    <w:rsid w:val="7E9D7998"/>
    <w:rsid w:val="7ED4682F"/>
    <w:rsid w:val="7F08297D"/>
    <w:rsid w:val="7F127358"/>
    <w:rsid w:val="7F550B07"/>
    <w:rsid w:val="7FBD7DF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18"/>
    <w:qFormat/>
    <w:uiPriority w:val="0"/>
    <w:pPr>
      <w:keepNext/>
      <w:keepLines/>
      <w:widowControl w:val="0"/>
      <w:kinsoku/>
      <w:autoSpaceDE/>
      <w:autoSpaceDN/>
      <w:adjustRightInd/>
      <w:snapToGrid/>
      <w:spacing w:line="416" w:lineRule="auto"/>
      <w:jc w:val="both"/>
      <w:textAlignment w:val="auto"/>
      <w:outlineLvl w:val="1"/>
    </w:pPr>
    <w:rPr>
      <w:rFonts w:eastAsia="黑体" w:cs="Times New Roman"/>
      <w:b/>
      <w:bCs/>
      <w:snapToGrid/>
      <w:color w:val="auto"/>
      <w:kern w:val="2"/>
      <w:sz w:val="32"/>
      <w:szCs w:val="32"/>
      <w:lang w:eastAsia="zh-CN"/>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1"/>
    <w:qFormat/>
    <w:uiPriority w:val="0"/>
    <w:pPr>
      <w:ind w:firstLine="420"/>
    </w:pPr>
    <w:rPr>
      <w:rFonts w:ascii="Calibri" w:hAnsi="Calibri" w:eastAsia="宋体" w:cs="Times New Roman"/>
      <w:szCs w:val="20"/>
    </w:rPr>
  </w:style>
  <w:style w:type="paragraph" w:styleId="5">
    <w:name w:val="annotation text"/>
    <w:basedOn w:val="1"/>
    <w:link w:val="19"/>
    <w:qFormat/>
    <w:uiPriority w:val="0"/>
  </w:style>
  <w:style w:type="paragraph" w:styleId="6">
    <w:name w:val="Body Text"/>
    <w:basedOn w:val="1"/>
    <w:next w:val="7"/>
    <w:semiHidden/>
    <w:qFormat/>
    <w:uiPriority w:val="0"/>
    <w:rPr>
      <w:rFonts w:ascii="宋体" w:hAnsi="宋体" w:eastAsia="宋体" w:cs="宋体"/>
      <w:sz w:val="41"/>
      <w:szCs w:val="41"/>
    </w:rPr>
  </w:style>
  <w:style w:type="paragraph" w:styleId="7">
    <w:name w:val="toc 5"/>
    <w:basedOn w:val="1"/>
    <w:next w:val="1"/>
    <w:qFormat/>
    <w:uiPriority w:val="0"/>
    <w:pPr>
      <w:widowControl w:val="0"/>
      <w:ind w:left="1680" w:leftChars="800"/>
      <w:jc w:val="both"/>
    </w:pPr>
    <w:rPr>
      <w:kern w:val="2"/>
      <w:szCs w:val="24"/>
    </w:rPr>
  </w:style>
  <w:style w:type="paragraph" w:styleId="8">
    <w:name w:val="Balloon Text"/>
    <w:basedOn w:val="1"/>
    <w:link w:val="21"/>
    <w:qFormat/>
    <w:uiPriority w:val="0"/>
    <w:rPr>
      <w:sz w:val="18"/>
      <w:szCs w:val="18"/>
    </w:rPr>
  </w:style>
  <w:style w:type="paragraph" w:styleId="9">
    <w:name w:val="footer"/>
    <w:basedOn w:val="1"/>
    <w:qFormat/>
    <w:uiPriority w:val="0"/>
    <w:pPr>
      <w:tabs>
        <w:tab w:val="center" w:pos="4153"/>
        <w:tab w:val="right" w:pos="8306"/>
      </w:tabs>
    </w:pPr>
    <w:rPr>
      <w:sz w:val="18"/>
    </w:rPr>
  </w:style>
  <w:style w:type="paragraph" w:styleId="10">
    <w:name w:val="header"/>
    <w:basedOn w:val="1"/>
    <w:link w:val="17"/>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1">
    <w:name w:val="annotation subject"/>
    <w:basedOn w:val="5"/>
    <w:next w:val="5"/>
    <w:link w:val="20"/>
    <w:qFormat/>
    <w:uiPriority w:val="0"/>
    <w:rPr>
      <w:b/>
      <w:bCs/>
    </w:rPr>
  </w:style>
  <w:style w:type="character" w:styleId="14">
    <w:name w:val="annotation reference"/>
    <w:basedOn w:val="13"/>
    <w:qFormat/>
    <w:uiPriority w:val="0"/>
    <w:rPr>
      <w:sz w:val="21"/>
      <w:szCs w:val="21"/>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Table Text"/>
    <w:basedOn w:val="1"/>
    <w:semiHidden/>
    <w:qFormat/>
    <w:uiPriority w:val="0"/>
    <w:rPr>
      <w:rFonts w:ascii="宋体" w:hAnsi="宋体" w:eastAsia="宋体" w:cs="宋体"/>
      <w:sz w:val="40"/>
      <w:szCs w:val="40"/>
    </w:rPr>
  </w:style>
  <w:style w:type="character" w:customStyle="1" w:styleId="17">
    <w:name w:val="页眉 Char"/>
    <w:basedOn w:val="13"/>
    <w:link w:val="10"/>
    <w:qFormat/>
    <w:uiPriority w:val="0"/>
    <w:rPr>
      <w:rFonts w:eastAsia="Arial"/>
      <w:snapToGrid w:val="0"/>
      <w:color w:val="000000"/>
      <w:sz w:val="18"/>
      <w:szCs w:val="21"/>
      <w:lang w:eastAsia="en-US"/>
    </w:rPr>
  </w:style>
  <w:style w:type="character" w:customStyle="1" w:styleId="18">
    <w:name w:val="标题 2 Char"/>
    <w:basedOn w:val="13"/>
    <w:link w:val="3"/>
    <w:qFormat/>
    <w:uiPriority w:val="0"/>
    <w:rPr>
      <w:rFonts w:eastAsia="黑体" w:cs="Times New Roman"/>
      <w:b/>
      <w:bCs/>
      <w:kern w:val="2"/>
      <w:sz w:val="32"/>
      <w:szCs w:val="32"/>
    </w:rPr>
  </w:style>
  <w:style w:type="character" w:customStyle="1" w:styleId="19">
    <w:name w:val="批注文字 Char"/>
    <w:basedOn w:val="13"/>
    <w:link w:val="5"/>
    <w:qFormat/>
    <w:uiPriority w:val="0"/>
    <w:rPr>
      <w:rFonts w:ascii="Arial" w:hAnsi="Arial" w:eastAsia="Arial" w:cs="Arial"/>
      <w:snapToGrid w:val="0"/>
      <w:color w:val="000000"/>
      <w:sz w:val="21"/>
      <w:szCs w:val="21"/>
      <w:lang w:eastAsia="en-US"/>
    </w:rPr>
  </w:style>
  <w:style w:type="character" w:customStyle="1" w:styleId="20">
    <w:name w:val="批注主题 Char"/>
    <w:basedOn w:val="19"/>
    <w:link w:val="11"/>
    <w:qFormat/>
    <w:uiPriority w:val="0"/>
    <w:rPr>
      <w:b/>
      <w:bCs/>
    </w:rPr>
  </w:style>
  <w:style w:type="character" w:customStyle="1" w:styleId="21">
    <w:name w:val="批注框文本 Char"/>
    <w:basedOn w:val="13"/>
    <w:link w:val="8"/>
    <w:qFormat/>
    <w:uiPriority w:val="0"/>
    <w:rPr>
      <w:rFonts w:ascii="Arial" w:hAnsi="Arial" w:eastAsia="Arial" w:cs="Arial"/>
      <w:snapToGrid w:val="0"/>
      <w:color w:val="000000"/>
      <w:sz w:val="18"/>
      <w:szCs w:val="18"/>
      <w:lang w:eastAsia="en-US"/>
    </w:rPr>
  </w:style>
  <w:style w:type="paragraph" w:customStyle="1" w:styleId="22">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42E3F2-62BB-43F6-9579-88C8BE73D3A8}">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11292</Words>
  <Characters>11595</Characters>
  <Lines>73</Lines>
  <Paragraphs>20</Paragraphs>
  <TotalTime>91</TotalTime>
  <ScaleCrop>false</ScaleCrop>
  <LinksUpToDate>false</LinksUpToDate>
  <CharactersWithSpaces>11700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2024-09-12T02:48:00Z</dcterms:created>
  <dc:creator>Kingsoft-PDF</dc:creator>
  <cp:lastModifiedBy>Yozu</cp:lastModifiedBy>
  <cp:lastPrinted>2024-08-12T02:19:00Z</cp:lastPrinted>
  <dcterms:modified xsi:type="dcterms:W3CDTF">2025-07-18T07:24:00Z</dcterms:modified>
  <dc:subject>pdfbuilder</dc:subject>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2024-08-12T09:12:47Z</vt:filetime>
  </property>
  <property fmtid="{D5CDD505-2E9C-101B-9397-08002B2CF9AE}" pid="4" name="UsrData">
    <vt:lpwstr>66b961897a5e61001f4f09d6wl</vt:lpwstr>
  </property>
  <property fmtid="{D5CDD505-2E9C-101B-9397-08002B2CF9AE}" pid="5" name="KSOProductBuildVer">
    <vt:lpwstr>2052-12.1.0.21915</vt:lpwstr>
  </property>
  <property fmtid="{D5CDD505-2E9C-101B-9397-08002B2CF9AE}" pid="6" name="ICV">
    <vt:lpwstr>1FD4F4CB6DC44633B84EBFA3B9FA4632_13</vt:lpwstr>
  </property>
  <property fmtid="{D5CDD505-2E9C-101B-9397-08002B2CF9AE}" pid="7" name="KSOTemplateDocerSaveRecord">
    <vt:lpwstr>eyJoZGlkIjoiMmJiOGM2OWM5OGRiMjY5NzViZWM4YzcwYzllNjEzYzkiLCJ1c2VySWQiOiIyNDgwOTUyMDEifQ==</vt:lpwstr>
  </property>
</Properties>
</file>