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A8C87">
      <w:pPr>
        <w:pStyle w:val="11"/>
        <w:jc w:val="center"/>
        <w:rPr>
          <w:rFonts w:hint="eastAsia" w:ascii="方正公文小标宋" w:hAnsi="方正公文小标宋" w:eastAsia="方正公文小标宋" w:cs="方正公文小标宋"/>
          <w:i w:val="0"/>
          <w:color w:val="555555"/>
          <w:sz w:val="44"/>
          <w:szCs w:val="44"/>
        </w:rPr>
      </w:pPr>
      <w:r>
        <w:rPr>
          <w:rFonts w:hint="eastAsia" w:ascii="方正公文小标宋" w:hAnsi="方正公文小标宋" w:eastAsia="方正公文小标宋" w:cs="方正公文小标宋"/>
          <w:i w:val="0"/>
          <w:color w:val="555555"/>
          <w:sz w:val="44"/>
          <w:szCs w:val="44"/>
        </w:rPr>
        <w:t>用户需求</w:t>
      </w:r>
    </w:p>
    <w:p w14:paraId="577F6B0B">
      <w:pPr>
        <w:pStyle w:val="2"/>
        <w:numPr>
          <w:ilvl w:val="0"/>
          <w:numId w:val="1"/>
        </w:numPr>
        <w:topLinePunct w:val="0"/>
        <w:ind w:left="0" w:leftChars="0" w:firstLine="640" w:firstLineChars="0"/>
        <w:rPr>
          <w:b w:val="0"/>
        </w:rPr>
      </w:pPr>
      <w:r>
        <w:t>项目概况</w:t>
      </w:r>
    </w:p>
    <w:p w14:paraId="32BB00C1">
      <w:pPr>
        <w:pStyle w:val="11"/>
        <w:numPr>
          <w:ilvl w:val="0"/>
          <w:numId w:val="2"/>
        </w:numPr>
        <w:topLinePunct w:val="0"/>
        <w:ind w:left="0" w:leftChars="0" w:firstLine="616" w:firstLineChars="0"/>
        <w:rPr>
          <w:rFonts w:hint="eastAsia" w:ascii="仿宋_GB2312" w:hAnsi="仿宋_GB2312" w:eastAsia="仿宋_GB2312" w:cs="Times New Roman"/>
        </w:rPr>
      </w:pPr>
      <w:r>
        <w:rPr>
          <w:rStyle w:val="19"/>
        </w:rPr>
        <w:t>项目名称</w:t>
      </w:r>
      <w:r>
        <w:rPr>
          <w:i w:val="0"/>
          <w:color w:val="555555"/>
        </w:rPr>
        <w:t>：</w:t>
      </w:r>
      <w:r>
        <w:rPr>
          <w:rFonts w:ascii="仿宋_GB2312" w:hAnsi="仿宋_GB2312" w:eastAsia="仿宋_GB2312" w:cs="Times New Roman"/>
        </w:rPr>
        <w:t>中山市第二人民医院电力市场化交易服务项目</w:t>
      </w:r>
    </w:p>
    <w:p w14:paraId="66692985">
      <w:pPr>
        <w:pStyle w:val="11"/>
        <w:numPr>
          <w:ilvl w:val="0"/>
          <w:numId w:val="2"/>
        </w:numPr>
        <w:topLinePunct w:val="0"/>
        <w:ind w:left="0" w:leftChars="0" w:firstLine="616" w:firstLineChars="0"/>
        <w:rPr>
          <w:rFonts w:hint="eastAsia" w:ascii="楷体_GB2312" w:hAnsi="楷体_GB2312" w:eastAsia="楷体_GB2312" w:cs="楷体_GB2312"/>
          <w:b w:val="0"/>
          <w:i w:val="0"/>
          <w:color w:val="auto"/>
        </w:rPr>
      </w:pPr>
      <w:r>
        <w:rPr>
          <w:rStyle w:val="19"/>
        </w:rPr>
        <w:t>服务地点</w:t>
      </w:r>
      <w:r>
        <w:rPr>
          <w:i w:val="0"/>
          <w:color w:val="555555"/>
        </w:rPr>
        <w:t>：</w:t>
      </w:r>
      <w:r>
        <w:rPr>
          <w:rFonts w:ascii="仿宋_GB2312" w:hAnsi="仿宋_GB2312" w:eastAsia="仿宋_GB2312" w:cs="Times New Roman"/>
        </w:rPr>
        <w:t>中山市第二人民医院及南区分院</w:t>
      </w:r>
    </w:p>
    <w:p w14:paraId="42A0FDB6">
      <w:pPr>
        <w:pStyle w:val="11"/>
        <w:numPr>
          <w:ilvl w:val="0"/>
          <w:numId w:val="2"/>
        </w:numPr>
        <w:topLinePunct w:val="0"/>
        <w:ind w:left="0" w:leftChars="0" w:firstLine="616" w:firstLineChars="0"/>
        <w:rPr>
          <w:rFonts w:hint="eastAsia" w:ascii="楷体_GB2312" w:hAnsi="楷体_GB2312" w:eastAsia="楷体_GB2312" w:cs="楷体_GB2312"/>
          <w:b w:val="0"/>
          <w:i w:val="0"/>
          <w:color w:val="auto"/>
        </w:rPr>
      </w:pPr>
      <w:r>
        <w:rPr>
          <w:rStyle w:val="19"/>
        </w:rPr>
        <w:t>服务期限</w:t>
      </w:r>
      <w:r>
        <w:rPr>
          <w:i w:val="0"/>
          <w:color w:val="555555"/>
        </w:rPr>
        <w:t>：</w:t>
      </w:r>
      <w:r>
        <w:rPr>
          <w:rFonts w:ascii="仿宋_GB2312" w:hAnsi="仿宋_GB2312" w:eastAsia="仿宋_GB2312" w:cs="Times New Roman"/>
        </w:rPr>
        <w:t>2025年10月1日至2026年12月31日</w:t>
      </w:r>
    </w:p>
    <w:p w14:paraId="2B125B3E">
      <w:pPr>
        <w:pStyle w:val="11"/>
        <w:numPr>
          <w:ilvl w:val="0"/>
          <w:numId w:val="2"/>
        </w:numPr>
        <w:topLinePunct w:val="0"/>
        <w:ind w:left="0" w:leftChars="0" w:firstLine="616" w:firstLineChars="0"/>
        <w:rPr>
          <w:rFonts w:hint="eastAsia" w:ascii="楷体_GB2312" w:hAnsi="楷体_GB2312" w:eastAsia="楷体_GB2312" w:cs="楷体_GB2312"/>
          <w:b w:val="0"/>
          <w:i w:val="0"/>
          <w:color w:val="auto"/>
        </w:rPr>
      </w:pPr>
      <w:r>
        <w:rPr>
          <w:rStyle w:val="19"/>
        </w:rPr>
        <w:t>用电量参考</w:t>
      </w:r>
      <w:r>
        <w:rPr>
          <w:i w:val="0"/>
          <w:color w:val="555555"/>
        </w:rPr>
        <w:t>：</w:t>
      </w:r>
      <w:r>
        <w:rPr>
          <w:rFonts w:ascii="仿宋_GB2312" w:hAnsi="仿宋_GB2312" w:eastAsia="仿宋_GB2312" w:cs="Times New Roman"/>
        </w:rPr>
        <w:t>2024年</w:t>
      </w:r>
      <w:r>
        <w:rPr>
          <w:rFonts w:hint="eastAsia" w:cs="Times New Roman"/>
          <w:lang w:val="en-US" w:eastAsia="zh-CN"/>
        </w:rPr>
        <w:t>1</w:t>
      </w:r>
      <w:r>
        <w:rPr>
          <w:rFonts w:ascii="仿宋_GB2312" w:hAnsi="仿宋_GB2312" w:eastAsia="仿宋_GB2312" w:cs="Times New Roman"/>
        </w:rPr>
        <w:t>月1日至2024年</w:t>
      </w:r>
      <w:r>
        <w:rPr>
          <w:rFonts w:hint="eastAsia" w:cs="Times New Roman"/>
          <w:lang w:val="en-US" w:eastAsia="zh-CN"/>
        </w:rPr>
        <w:t>12</w:t>
      </w:r>
      <w:r>
        <w:rPr>
          <w:rFonts w:ascii="仿宋_GB2312" w:hAnsi="仿宋_GB2312" w:eastAsia="仿宋_GB2312" w:cs="Times New Roman"/>
        </w:rPr>
        <w:t>月</w:t>
      </w:r>
      <w:r>
        <w:rPr>
          <w:rFonts w:hint="eastAsia" w:cs="Times New Roman"/>
          <w:lang w:val="en-US" w:eastAsia="zh-CN"/>
        </w:rPr>
        <w:t>31</w:t>
      </w:r>
      <w:r>
        <w:rPr>
          <w:rFonts w:ascii="仿宋_GB2312" w:hAnsi="仿宋_GB2312" w:eastAsia="仿宋_GB2312" w:cs="Times New Roman"/>
        </w:rPr>
        <w:t>日用电量合计：</w:t>
      </w:r>
      <w:r>
        <w:rPr>
          <w:rFonts w:hint="eastAsia"/>
          <w:lang w:val="en-US" w:eastAsia="zh-CN"/>
        </w:rPr>
        <w:t>5781950</w:t>
      </w:r>
      <w:r>
        <w:rPr>
          <w:rFonts w:ascii="仿宋_GB2312" w:hAnsi="仿宋_GB2312" w:eastAsia="仿宋_GB2312" w:cs="Times New Roman"/>
        </w:rPr>
        <w:t>千瓦时。</w:t>
      </w:r>
    </w:p>
    <w:p w14:paraId="58732F89">
      <w:pPr>
        <w:pStyle w:val="2"/>
        <w:numPr>
          <w:ilvl w:val="0"/>
          <w:numId w:val="1"/>
        </w:numPr>
        <w:topLinePunct w:val="0"/>
        <w:ind w:left="0" w:leftChars="0" w:firstLine="640" w:firstLineChars="0"/>
        <w:rPr>
          <w:rFonts w:hint="eastAsia" w:cs="Times New Roman"/>
          <w:lang w:val="en-US" w:eastAsia="zh-CN"/>
        </w:rPr>
      </w:pPr>
      <w:r>
        <w:rPr>
          <w:rFonts w:hint="eastAsia" w:cs="Times New Roman"/>
          <w:lang w:val="en-US" w:eastAsia="zh-CN"/>
        </w:rPr>
        <w:t>项目概述</w:t>
      </w:r>
    </w:p>
    <w:p w14:paraId="42FB69F1">
      <w:pPr>
        <w:pStyle w:val="11"/>
        <w:keepNext w:val="0"/>
        <w:keepLines w:val="0"/>
        <w:pageBreakBefore w:val="0"/>
        <w:widowControl/>
        <w:numPr>
          <w:ilvl w:val="0"/>
          <w:numId w:val="0"/>
        </w:numPr>
        <w:kinsoku/>
        <w:wordWrap/>
        <w:overflowPunct/>
        <w:topLinePunct w:val="0"/>
        <w:autoSpaceDE/>
        <w:autoSpaceDN/>
        <w:bidi w:val="0"/>
        <w:adjustRightInd/>
        <w:snapToGrid/>
        <w:ind w:leftChars="0" w:firstLine="616" w:firstLineChars="200"/>
        <w:textAlignment w:val="auto"/>
        <w:rPr>
          <w:rFonts w:hint="default" w:ascii="仿宋_GB2312" w:hAnsi="仿宋_GB2312" w:eastAsia="仿宋_GB2312" w:cs="Times New Roman"/>
          <w:lang w:val="en-US" w:eastAsia="zh-CN"/>
        </w:rPr>
      </w:pPr>
      <w:r>
        <w:rPr>
          <w:rFonts w:hint="eastAsia" w:ascii="仿宋_GB2312" w:hAnsi="仿宋_GB2312" w:eastAsia="仿宋_GB2312" w:cs="Times New Roman"/>
          <w:lang w:val="en-US" w:eastAsia="zh-CN"/>
        </w:rPr>
        <w:t>根据医院发展部署，综合考虑节约能源，节约成本，根据广东省能源局</w:t>
      </w:r>
      <w:r>
        <w:rPr>
          <w:rFonts w:hint="default" w:ascii="仿宋_GB2312" w:hAnsi="仿宋_GB2312" w:eastAsia="仿宋_GB2312" w:cs="Times New Roman"/>
          <w:lang w:val="en-US" w:eastAsia="zh-CN"/>
        </w:rPr>
        <w:t>《关于印发</w:t>
      </w:r>
      <w:r>
        <w:rPr>
          <w:rFonts w:hint="eastAsia" w:ascii="仿宋_GB2312" w:hAnsi="仿宋_GB2312" w:eastAsia="仿宋_GB2312" w:cs="Times New Roman"/>
          <w:lang w:val="en-US" w:eastAsia="zh-CN"/>
        </w:rPr>
        <w:t>〈</w:t>
      </w:r>
      <w:r>
        <w:rPr>
          <w:rFonts w:hint="default" w:ascii="仿宋_GB2312" w:hAnsi="仿宋_GB2312" w:eastAsia="仿宋_GB2312" w:cs="Times New Roman"/>
          <w:lang w:val="en-US" w:eastAsia="zh-CN"/>
        </w:rPr>
        <w:t>广东电力零售市场管理办法</w:t>
      </w:r>
      <w:r>
        <w:rPr>
          <w:rFonts w:hint="eastAsia" w:ascii="仿宋_GB2312" w:hAnsi="仿宋_GB2312" w:eastAsia="仿宋_GB2312" w:cs="Times New Roman"/>
          <w:lang w:val="en-US" w:eastAsia="zh-CN"/>
        </w:rPr>
        <w:t>〉的通知》</w:t>
      </w:r>
      <w:r>
        <w:rPr>
          <w:rFonts w:hint="default" w:ascii="仿宋_GB2312" w:hAnsi="仿宋_GB2312" w:eastAsia="仿宋_GB2312" w:cs="Times New Roman"/>
          <w:lang w:val="en-US" w:eastAsia="zh-CN"/>
        </w:rPr>
        <w:t>（粤能规</w:t>
      </w:r>
      <w:r>
        <w:rPr>
          <w:rFonts w:hint="eastAsia" w:ascii="仿宋_GB2312" w:hAnsi="仿宋_GB2312" w:eastAsia="仿宋_GB2312" w:cs="Times New Roman"/>
          <w:lang w:val="en-US" w:eastAsia="zh-CN"/>
        </w:rPr>
        <w:t>〔2023〕2号</w:t>
      </w:r>
      <w:r>
        <w:rPr>
          <w:rFonts w:hint="default" w:ascii="仿宋_GB2312" w:hAnsi="仿宋_GB2312" w:eastAsia="仿宋_GB2312" w:cs="Times New Roman"/>
          <w:lang w:val="en-US" w:eastAsia="zh-CN"/>
        </w:rPr>
        <w:t>）</w:t>
      </w:r>
      <w:r>
        <w:rPr>
          <w:rFonts w:hint="eastAsia" w:ascii="仿宋_GB2312" w:hAnsi="仿宋_GB2312" w:eastAsia="仿宋_GB2312" w:cs="Times New Roman"/>
          <w:lang w:val="en-US" w:eastAsia="zh-CN"/>
        </w:rPr>
        <w:t>文件精神，医院计划加入广东电力零售市场交易管理系统。</w:t>
      </w:r>
    </w:p>
    <w:p w14:paraId="49C27E2D">
      <w:pPr>
        <w:pStyle w:val="2"/>
        <w:numPr>
          <w:ilvl w:val="0"/>
          <w:numId w:val="1"/>
        </w:numPr>
        <w:topLinePunct w:val="0"/>
        <w:ind w:left="0" w:leftChars="0" w:firstLine="640" w:firstLineChars="0"/>
        <w:rPr>
          <w:rFonts w:hint="eastAsia" w:cs="Times New Roman"/>
          <w:lang w:val="en-US" w:eastAsia="zh-CN"/>
        </w:rPr>
      </w:pPr>
      <w:r>
        <w:rPr>
          <w:rFonts w:hint="eastAsia" w:cs="Times New Roman"/>
          <w:lang w:val="en-US" w:eastAsia="zh-CN"/>
        </w:rPr>
        <w:t>服务商资质</w:t>
      </w:r>
    </w:p>
    <w:p w14:paraId="4AA025F5">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（一）具有独立承担民事责任的能力，营业执照的经营范围需包括供电、输电、售电业务之一；</w:t>
      </w:r>
    </w:p>
    <w:p w14:paraId="64AAD408">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（二）响应服务商必须是纳入广东省电力交易中心售电目录企业名单内；</w:t>
      </w:r>
    </w:p>
    <w:p w14:paraId="204B4019">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default" w:ascii="仿宋_GB2312" w:hAnsi="仿宋_GB2312" w:eastAsia="仿宋_GB2312" w:cs="Times New Roman"/>
          <w:lang w:val="en-US" w:eastAsia="zh-CN"/>
        </w:rPr>
      </w:pPr>
      <w:r>
        <w:rPr>
          <w:rFonts w:hint="eastAsia" w:ascii="仿宋_GB2312" w:hAnsi="仿宋_GB2312" w:eastAsia="仿宋_GB2312" w:cs="Times New Roman"/>
          <w:lang w:val="en-US" w:eastAsia="zh-CN"/>
        </w:rPr>
        <w:t>（三）响应服务商没有发生在广东电力交易中心披露2022—2024年被投诉情况（提供承诺函）；</w:t>
      </w:r>
    </w:p>
    <w:p w14:paraId="22854BA0">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（四）响应服务商在广东电力交易中心发布的2024年广东电力市场信用评价结果的评价等级AA及以上；</w:t>
      </w:r>
    </w:p>
    <w:p w14:paraId="5FCFFD82">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eastAsia" w:ascii="仿宋_GB2312" w:hAnsi="仿宋_GB2312" w:eastAsia="仿宋_GB2312" w:cs="Times New Roman"/>
          <w:lang w:val="en-US" w:eastAsia="zh-CN"/>
        </w:rPr>
      </w:pPr>
      <w:r>
        <w:rPr>
          <w:rFonts w:hint="eastAsia" w:ascii="仿宋_GB2312" w:hAnsi="仿宋_GB2312" w:eastAsia="仿宋_GB2312" w:cs="Times New Roman"/>
          <w:lang w:val="en-US" w:eastAsia="zh-CN"/>
        </w:rPr>
        <w:t>（五）响应服务商须提供根据广东电力市场履约风险管理实施细则设立的售电公司电力交易履约担保凭证，履约保函金额在500万元以上；</w:t>
      </w:r>
    </w:p>
    <w:p w14:paraId="792D14BB">
      <w:pPr>
        <w:pStyle w:val="11"/>
        <w:keepNext w:val="0"/>
        <w:keepLines w:val="0"/>
        <w:pageBreakBefore w:val="0"/>
        <w:widowControl/>
        <w:numPr>
          <w:ilvl w:val="0"/>
          <w:numId w:val="0"/>
        </w:numPr>
        <w:kinsoku/>
        <w:wordWrap/>
        <w:overflowPunct/>
        <w:topLinePunct w:val="0"/>
        <w:autoSpaceDE/>
        <w:autoSpaceDN/>
        <w:bidi w:val="0"/>
        <w:adjustRightInd/>
        <w:snapToGrid/>
        <w:ind w:left="0" w:leftChars="0" w:firstLine="616" w:firstLineChars="200"/>
        <w:textAlignment w:val="auto"/>
        <w:rPr>
          <w:rFonts w:hint="default" w:ascii="仿宋_GB2312" w:hAnsi="仿宋_GB2312" w:eastAsia="仿宋_GB2312" w:cs="Times New Roman"/>
          <w:lang w:val="en-US" w:eastAsia="zh-CN"/>
        </w:rPr>
      </w:pPr>
      <w:r>
        <w:rPr>
          <w:rFonts w:hint="eastAsia" w:ascii="仿宋_GB2312" w:hAnsi="仿宋_GB2312" w:eastAsia="仿宋_GB2312" w:cs="Times New Roman"/>
          <w:lang w:val="en-US" w:eastAsia="zh-CN"/>
        </w:rPr>
        <w:t>（六）</w:t>
      </w:r>
      <w:r>
        <w:rPr>
          <w:rFonts w:hint="default" w:ascii="仿宋_GB2312" w:hAnsi="仿宋_GB2312" w:eastAsia="仿宋_GB2312" w:cs="Times New Roman"/>
          <w:lang w:val="en-US" w:eastAsia="zh-CN"/>
        </w:rPr>
        <w:t>本项目不接受联合体报名，不允许分包、转包。</w:t>
      </w:r>
    </w:p>
    <w:p w14:paraId="0BDA3243">
      <w:pPr>
        <w:pStyle w:val="2"/>
        <w:numPr>
          <w:ilvl w:val="0"/>
          <w:numId w:val="1"/>
        </w:numPr>
        <w:topLinePunct w:val="0"/>
        <w:ind w:left="0" w:leftChars="0" w:firstLine="640" w:firstLineChars="0"/>
        <w:rPr>
          <w:b w:val="0"/>
        </w:rPr>
      </w:pPr>
      <w:r>
        <w:t>项目服务要求</w:t>
      </w:r>
    </w:p>
    <w:p w14:paraId="2C21087C">
      <w:pPr>
        <w:pStyle w:val="11"/>
        <w:numPr>
          <w:ilvl w:val="0"/>
          <w:numId w:val="3"/>
        </w:numPr>
        <w:topLinePunct w:val="0"/>
        <w:ind w:left="0" w:leftChars="0" w:firstLine="616" w:firstLineChars="0"/>
        <w:rPr>
          <w:b w:val="0"/>
        </w:rPr>
      </w:pPr>
      <w:r>
        <w:rPr>
          <w:rFonts w:hint="default" w:ascii="仿宋_GB2312" w:hAnsi="仿宋_GB2312" w:eastAsia="仿宋_GB2312" w:cs="Times New Roman"/>
        </w:rPr>
        <w:t>保障用电供应工作：服务单位需保障医院用电额度，服务期内不得以用电额度不足为由停止给医院供电或者要求医院重回广东南网代购电，如发生上述情况，因此造成的包括但不限于其他途径购电支出、额外费用、相关损失等一切费用和后果均由服务单位承担</w:t>
      </w:r>
      <w:r>
        <w:rPr>
          <w:rFonts w:hint="default" w:ascii="Arial" w:hAnsi="Arial" w:eastAsia="Arial" w:cs="Arial"/>
          <w:i w:val="0"/>
          <w:iCs w:val="0"/>
          <w:caps w:val="0"/>
          <w:color w:val="555555"/>
          <w:spacing w:val="0"/>
          <w:sz w:val="24"/>
          <w:szCs w:val="24"/>
        </w:rPr>
        <w:t>。</w:t>
      </w:r>
    </w:p>
    <w:p w14:paraId="08389099">
      <w:pPr>
        <w:pStyle w:val="11"/>
        <w:numPr>
          <w:ilvl w:val="0"/>
          <w:numId w:val="3"/>
        </w:numPr>
        <w:topLinePunct w:val="0"/>
        <w:ind w:left="0" w:leftChars="0" w:firstLine="616" w:firstLineChars="0"/>
        <w:rPr>
          <w:rFonts w:hint="default" w:ascii="Arial" w:hAnsi="Arial" w:eastAsia="Arial" w:cs="Arial"/>
          <w:sz w:val="24"/>
          <w:szCs w:val="24"/>
        </w:rPr>
      </w:pPr>
      <w:r>
        <w:t>具有广东省经济和信息化委员会核准的具有售电资质的售电公司</w:t>
      </w:r>
      <w:r>
        <w:rPr>
          <w:rFonts w:hint="eastAsia"/>
          <w:lang w:eastAsia="zh-CN"/>
        </w:rPr>
        <w:t>（</w:t>
      </w:r>
      <w:r>
        <w:t>须提供证明</w:t>
      </w:r>
      <w:r>
        <w:rPr>
          <w:rFonts w:hint="eastAsia"/>
          <w:lang w:eastAsia="zh-CN"/>
        </w:rPr>
        <w:t>）</w:t>
      </w:r>
      <w:r>
        <w:t>。</w:t>
      </w:r>
    </w:p>
    <w:p w14:paraId="51F64301">
      <w:pPr>
        <w:pStyle w:val="11"/>
        <w:numPr>
          <w:ilvl w:val="0"/>
          <w:numId w:val="3"/>
        </w:numPr>
        <w:topLinePunct w:val="0"/>
        <w:ind w:left="0" w:leftChars="0" w:firstLine="616" w:firstLineChars="0"/>
        <w:rPr>
          <w:rFonts w:ascii="仿宋_GB2312" w:hAnsi="仿宋_GB2312" w:eastAsia="仿宋_GB2312" w:cs="Times New Roman"/>
        </w:rPr>
      </w:pPr>
      <w:r>
        <w:t>业绩</w:t>
      </w:r>
      <w:r>
        <w:rPr>
          <w:rFonts w:ascii="仿宋_GB2312" w:hAnsi="仿宋_GB2312" w:eastAsia="仿宋_GB2312" w:cs="Times New Roman"/>
        </w:rPr>
        <w:t>要求：</w:t>
      </w:r>
      <w:r>
        <w:rPr>
          <w:rFonts w:hint="default" w:ascii="仿宋_GB2312" w:hAnsi="仿宋_GB2312" w:eastAsia="仿宋_GB2312" w:cs="Times New Roman"/>
        </w:rPr>
        <w:t>2022年至2024年三年间同类业绩的合同扫描件</w:t>
      </w:r>
      <w:r>
        <w:rPr>
          <w:rFonts w:hint="eastAsia" w:ascii="仿宋_GB2312" w:hAnsi="仿宋_GB2312" w:eastAsia="仿宋_GB2312" w:cs="Times New Roman"/>
          <w:lang w:eastAsia="zh-CN"/>
        </w:rPr>
        <w:t>。</w:t>
      </w:r>
    </w:p>
    <w:p w14:paraId="21F0554A">
      <w:pPr>
        <w:pStyle w:val="11"/>
        <w:numPr>
          <w:ilvl w:val="0"/>
          <w:numId w:val="3"/>
        </w:numPr>
        <w:topLinePunct w:val="0"/>
        <w:ind w:left="0" w:leftChars="0" w:firstLine="616" w:firstLineChars="0"/>
        <w:rPr>
          <w:rFonts w:ascii="仿宋_GB2312" w:hAnsi="仿宋_GB2312" w:eastAsia="仿宋_GB2312" w:cs="Times New Roman"/>
        </w:rPr>
      </w:pPr>
      <w:r>
        <w:rPr>
          <w:rFonts w:hint="default" w:ascii="仿宋_GB2312" w:hAnsi="仿宋_GB2312" w:eastAsia="仿宋_GB2312" w:cs="Times New Roman"/>
        </w:rPr>
        <w:t>不影响原有的供电方式、结算缴费方式等内容，每月具体的用量以南方电网的数据为准。</w:t>
      </w:r>
    </w:p>
    <w:p w14:paraId="6D581332">
      <w:pPr>
        <w:pStyle w:val="11"/>
        <w:numPr>
          <w:ilvl w:val="0"/>
          <w:numId w:val="3"/>
        </w:numPr>
        <w:topLinePunct w:val="0"/>
        <w:ind w:left="0" w:leftChars="0" w:firstLine="616" w:firstLineChars="0"/>
        <w:rPr>
          <w:b w:val="0"/>
        </w:rPr>
      </w:pPr>
      <w:r>
        <w:rPr>
          <w:rFonts w:ascii="仿宋_GB2312" w:hAnsi="仿宋_GB2312" w:eastAsia="仿宋_GB2312" w:cs="Times New Roman"/>
        </w:rPr>
        <w:t>提供关</w:t>
      </w:r>
      <w:r>
        <w:t>于售电的方案及增值服务</w:t>
      </w:r>
      <w:r>
        <w:rPr>
          <w:rFonts w:hint="eastAsia"/>
          <w:lang w:eastAsia="zh-CN"/>
        </w:rPr>
        <w:t>（</w:t>
      </w:r>
      <w:r>
        <w:t xml:space="preserve">请提供方案描述 </w:t>
      </w:r>
      <w:r>
        <w:rPr>
          <w:rFonts w:hint="eastAsia"/>
          <w:lang w:eastAsia="zh-CN"/>
        </w:rPr>
        <w:t>）</w:t>
      </w:r>
      <w:r>
        <w:t xml:space="preserve"> 。</w:t>
      </w:r>
    </w:p>
    <w:p w14:paraId="2BDE4795">
      <w:pPr>
        <w:pStyle w:val="11"/>
      </w:pPr>
      <w:r>
        <w:rPr>
          <w:rFonts w:hint="eastAsia"/>
          <w:lang w:val="en-US" w:eastAsia="zh-CN"/>
        </w:rPr>
        <w:t>1.</w:t>
      </w:r>
      <w:r>
        <w:t>固定价格部分：实际全电量的</w:t>
      </w:r>
      <w:r>
        <w:rPr>
          <w:u w:val="single"/>
        </w:rPr>
        <w:t xml:space="preserve">   </w:t>
      </w:r>
      <w:r>
        <w:t>%按固定价格模式结算，平段电价为：</w:t>
      </w:r>
      <w:r>
        <w:rPr>
          <w:u w:val="single"/>
        </w:rPr>
        <w:t xml:space="preserve">   </w:t>
      </w:r>
      <w:r>
        <w:rPr>
          <w:rFonts w:hint="eastAsia"/>
          <w:lang w:val="en-US" w:eastAsia="zh-CN"/>
        </w:rPr>
        <w:t>元</w:t>
      </w:r>
      <w:r>
        <w:t>/千瓦时；</w:t>
      </w:r>
    </w:p>
    <w:p w14:paraId="721D51A6">
      <w:pPr>
        <w:pStyle w:val="11"/>
      </w:pPr>
      <w:r>
        <w:rPr>
          <w:rFonts w:hint="eastAsia"/>
          <w:lang w:val="en-US" w:eastAsia="zh-CN"/>
        </w:rPr>
        <w:t>2.</w:t>
      </w:r>
      <w:r>
        <w:t>市场联动部分：实际全电量的</w:t>
      </w:r>
      <w:r>
        <w:rPr>
          <w:u w:val="single"/>
        </w:rPr>
        <w:t xml:space="preserve">   </w:t>
      </w:r>
      <w:r>
        <w:rPr>
          <w:rFonts w:hint="eastAsia"/>
          <w:u w:val="single"/>
          <w:lang w:val="en-US" w:eastAsia="zh-CN"/>
        </w:rPr>
        <w:t xml:space="preserve">  </w:t>
      </w:r>
      <w:r>
        <w:rPr>
          <w:u w:val="single"/>
        </w:rPr>
        <w:t xml:space="preserve"> </w:t>
      </w:r>
      <w:r>
        <w:t>%</w:t>
      </w:r>
      <w:r>
        <w:rPr>
          <w:rFonts w:hint="eastAsia"/>
          <w:lang w:eastAsia="zh-CN"/>
        </w:rPr>
        <w:t>，</w:t>
      </w:r>
      <w:r>
        <w:t>以</w:t>
      </w:r>
      <w:r>
        <w:rPr>
          <w:u w:val="single"/>
        </w:rPr>
        <w:t xml:space="preserve">         </w:t>
      </w:r>
      <w:r>
        <w:t>为基准作为平段电价结算。</w:t>
      </w:r>
      <w:bookmarkStart w:id="0" w:name="_GoBack"/>
      <w:bookmarkEnd w:id="0"/>
    </w:p>
    <w:p w14:paraId="1D399AB5">
      <w:pPr>
        <w:pStyle w:val="11"/>
        <w:rPr>
          <w:rFonts w:hint="eastAsia"/>
          <w:lang w:val="en-US" w:eastAsia="zh-CN"/>
        </w:rPr>
      </w:pPr>
      <w:r>
        <w:rPr>
          <w:rFonts w:hint="eastAsia"/>
          <w:spacing wpsCustomData:val="-6" w:val="-6"/>
          <w:lang w:val="en-US" w:eastAsia="zh-CN"/>
        </w:rPr>
        <w:t>3</w:t>
      </w:r>
      <w:r>
        <w:rPr>
          <w:rFonts w:hint="eastAsia"/>
          <w:spacing wpsCustomData:val="-6" w:val="0"/>
          <w:lang w:val="en-US" w:eastAsia="zh-CN"/>
        </w:rPr>
        <w:t>.售电公司不收取代理服务费，偏差考核费用由售电公</w:t>
      </w:r>
      <w:r>
        <w:rPr>
          <w:rFonts w:hint="eastAsia"/>
          <w:spacing wpsCustomData:val="-6" w:val="-6"/>
          <w:lang w:val="en-US" w:eastAsia="zh-CN"/>
        </w:rPr>
        <w:t>司</w:t>
      </w:r>
      <w:r>
        <w:rPr>
          <w:rFonts w:hint="eastAsia"/>
          <w:lang w:val="en-US" w:eastAsia="zh-CN"/>
        </w:rPr>
        <w:t>承担。</w:t>
      </w:r>
    </w:p>
    <w:p w14:paraId="48B444A7">
      <w:pPr>
        <w:pStyle w:val="11"/>
        <w:rPr>
          <w:rFonts w:hint="default"/>
          <w:lang w:val="en-US" w:eastAsia="zh-CN"/>
        </w:rPr>
      </w:pPr>
      <w:r>
        <w:rPr>
          <w:rFonts w:hint="eastAsia"/>
          <w:lang w:val="en-US" w:eastAsia="zh-CN"/>
        </w:rPr>
        <w:t>4.本项目费用包含电费、服务费、税费、人员费用、社保等一切费用。</w:t>
      </w:r>
    </w:p>
    <w:p w14:paraId="54CCEAB6">
      <w:pPr>
        <w:pStyle w:val="11"/>
        <w:numPr>
          <w:ilvl w:val="0"/>
          <w:numId w:val="3"/>
        </w:numPr>
        <w:topLinePunct w:val="0"/>
        <w:ind w:left="0" w:leftChars="0" w:firstLine="616" w:firstLineChars="0"/>
        <w:rPr>
          <w:b w:val="0"/>
        </w:rPr>
      </w:pPr>
      <w:r>
        <w:t>提供近3年贵公司售电与供电单价的明细表，让我院了解参与售电交易具体单价明细。</w:t>
      </w:r>
    </w:p>
    <w:p w14:paraId="17539500">
      <w:pPr>
        <w:pStyle w:val="11"/>
        <w:numPr>
          <w:ilvl w:val="0"/>
          <w:numId w:val="3"/>
        </w:numPr>
        <w:topLinePunct w:val="0"/>
        <w:ind w:left="0" w:leftChars="0" w:firstLine="616" w:firstLineChars="0"/>
        <w:rPr>
          <w:b w:val="0"/>
        </w:rPr>
      </w:pPr>
      <w:r>
        <w:t>每月缴费单出单后明确说明电费单价计算方式，免费协助甲方做好售电市场的动向及购售电方面的优惠信息及办理广东电力零售市场交易管理系统手续。</w:t>
      </w:r>
    </w:p>
    <w:p w14:paraId="3C34D5FC">
      <w:pPr>
        <w:pStyle w:val="11"/>
        <w:numPr>
          <w:ilvl w:val="0"/>
          <w:numId w:val="3"/>
        </w:numPr>
        <w:topLinePunct w:val="0"/>
        <w:ind w:left="0" w:leftChars="0" w:firstLine="616" w:firstLineChars="0"/>
        <w:rPr>
          <w:rFonts w:ascii="仿宋_GB2312" w:hAnsi="仿宋_GB2312" w:eastAsia="仿宋_GB2312" w:cs="Times New Roman"/>
        </w:rPr>
      </w:pPr>
      <w:r>
        <w:rPr>
          <w:rFonts w:hint="default" w:ascii="仿宋_GB2312" w:hAnsi="仿宋_GB2312" w:eastAsia="仿宋_GB2312" w:cs="Times New Roman"/>
        </w:rPr>
        <w:t>辅助做好电费上网工作：服务单位需指定专员对接医院工作，提供全程的供电服务，包含电费上网操作等所有流程。</w:t>
      </w:r>
    </w:p>
    <w:p w14:paraId="3B4FA791">
      <w:pPr>
        <w:rPr>
          <w:rFonts w:hint="eastAsia" w:ascii="Arial" w:hAnsi="Arial" w:eastAsia="宋体" w:cs="Arial"/>
          <w:i w:val="0"/>
          <w:iCs w:val="0"/>
          <w:caps w:val="0"/>
          <w:color w:val="555555"/>
          <w:spacing w:val="0"/>
          <w:sz w:val="24"/>
          <w:szCs w:val="24"/>
          <w:lang w:val="en-US" w:eastAsia="zh-CN"/>
        </w:rPr>
      </w:pPr>
    </w:p>
    <w:p w14:paraId="4F826B21">
      <w:pPr>
        <w:pStyle w:val="11"/>
        <w:keepNext w:val="0"/>
        <w:keepLines w:val="0"/>
        <w:pageBreakBefore w:val="0"/>
        <w:widowControl/>
        <w:kinsoku/>
        <w:wordWrap/>
        <w:overflowPunct/>
        <w:topLinePunct w:val="0"/>
        <w:autoSpaceDE/>
        <w:autoSpaceDN/>
        <w:bidi w:val="0"/>
        <w:adjustRightInd w:val="0"/>
        <w:snapToGrid/>
        <w:ind w:left="0" w:leftChars="0" w:right="943" w:rightChars="0" w:firstLine="0" w:firstLineChars="0"/>
        <w:jc w:val="right"/>
        <w:textAlignment w:val="auto"/>
        <w:rPr>
          <w:rFonts w:hint="eastAsia"/>
          <w:sz w:val="32"/>
          <w:szCs w:val="32"/>
          <w:lang w:val="en-US" w:eastAsia="zh-CN"/>
        </w:rPr>
      </w:pPr>
      <mc:AlternateContent>
        <mc:Choice Requires="wpsCustomData">
          <wpsCustomData:docfieldStart id="0" docfieldname="发文机关署名_1" hidden="0" print="1" readonly="0" index="45"/>
        </mc:Choice>
      </mc:AlternateContent>
      <w:r>
        <w:rPr>
          <w:rFonts w:hint="eastAsia"/>
          <w:sz w:val="32"/>
          <w:szCs w:val="32"/>
          <w:lang w:val="en-US" w:eastAsia="zh-CN"/>
        </w:rPr>
        <w:t>中山市第二人民医院</w:t>
      </w:r>
      <mc:AlternateContent>
        <mc:Choice Requires="wpsCustomData">
          <wpsCustomData:docfieldEnd id="0"/>
        </mc:Choice>
      </mc:AlternateContent>
    </w:p>
    <w:p w14:paraId="7D55D086">
      <w:pPr>
        <w:pStyle w:val="11"/>
        <w:keepNext w:val="0"/>
        <w:keepLines w:val="0"/>
        <w:pageBreakBefore w:val="0"/>
        <w:widowControl/>
        <w:kinsoku/>
        <w:wordWrap/>
        <w:overflowPunct/>
        <w:topLinePunct w:val="0"/>
        <w:autoSpaceDE/>
        <w:autoSpaceDN/>
        <w:bidi w:val="0"/>
        <w:adjustRightInd w:val="0"/>
        <w:snapToGrid/>
        <w:spacing w:line="240" w:lineRule="auto"/>
        <w:ind w:leftChars="0" w:right="1232" w:rightChars="400" w:firstLine="0" w:firstLineChars="0"/>
        <w:jc w:val="right"/>
        <w:textAlignment w:val="auto"/>
        <w:rPr>
          <w:rFonts w:hint="default" w:ascii="仿宋" w:hAnsi="仿宋" w:eastAsia="仿宋" w:cs="仿宋"/>
          <w:szCs w:val="32"/>
          <w:lang w:val="en-US" w:eastAsia="zh-CN"/>
        </w:rPr>
      </w:pPr>
      <mc:AlternateContent>
        <mc:Choice Requires="wpsCustomData">
          <wpsCustomData:docfieldStart id="1" docfieldname="成文日期_1" hidden="0" print="1" readonly="0" index="12"/>
        </mc:Choice>
      </mc:AlternateContent>
      <w:r>
        <w:rPr>
          <w:rFonts w:hint="eastAsia"/>
          <w:lang w:val="en-US" w:eastAsia="zh-CN"/>
        </w:rPr>
        <w:t>2025年8月4日</w:t>
      </w:r>
      <mc:AlternateContent>
        <mc:Choice Requires="wpsCustomData">
          <wpsCustomData:docfieldEnd id="1"/>
        </mc:Choice>
      </mc:AlternateContent>
    </w:p>
    <w:p w14:paraId="606482D1">
      <w:pPr>
        <w:rPr>
          <w:rFonts w:hint="eastAsia" w:ascii="Arial" w:hAnsi="Arial" w:eastAsia="宋体" w:cs="Arial"/>
          <w:i w:val="0"/>
          <w:iCs w:val="0"/>
          <w:caps w:val="0"/>
          <w:color w:val="555555"/>
          <w:spacing w:val="0"/>
          <w:sz w:val="24"/>
          <w:szCs w:val="24"/>
          <w:lang w:val="en-US" w:eastAsia="zh-CN"/>
        </w:rPr>
      </w:pPr>
    </w:p>
    <w:sectPr>
      <w:headerReference r:id="rId5" w:type="default"/>
      <w:footerReference r:id="rId7" w:type="default"/>
      <w:headerReference r:id="rId6" w:type="even"/>
      <w:footerReference r:id="rId8" w:type="even"/>
      <w:pgSz w:w="11906" w:h="16838"/>
      <w:pgMar w:top="1962" w:right="1474" w:bottom="1848" w:left="1587" w:header="851" w:footer="1049" w:gutter="0"/>
      <w:pgNumType w:fmt="decimal" w:start="1"/>
      <w:cols w:space="425" w:num="1"/>
      <w:docGrid w:type="linesAndChars" w:linePitch="592"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B37212-6A11-4378-8710-EF4AA9A0E86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ABAF2FA-3423-41FF-BBE0-4599F1BAEE87}"/>
  </w:font>
  <w:font w:name="仿宋_GB2312">
    <w:altName w:val="仿宋"/>
    <w:panose1 w:val="02010609030101010101"/>
    <w:charset w:val="86"/>
    <w:family w:val="modern"/>
    <w:pitch w:val="default"/>
    <w:sig w:usb0="00000000" w:usb1="00000000" w:usb2="00000000" w:usb3="00000000" w:csb0="00040000" w:csb1="00000000"/>
    <w:embedRegular r:id="rId3" w:fontKey="{CABA411E-4969-4CF6-82DE-75EDC5D92C7E}"/>
  </w:font>
  <w:font w:name="仿宋">
    <w:panose1 w:val="02010609060101010101"/>
    <w:charset w:val="86"/>
    <w:family w:val="auto"/>
    <w:pitch w:val="default"/>
    <w:sig w:usb0="800002BF" w:usb1="38CF7CFA" w:usb2="00000016" w:usb3="00000000" w:csb0="00040001" w:csb1="00000000"/>
    <w:embedRegular r:id="rId4" w:fontKey="{530A06E8-2409-47C9-8970-B944C38CB000}"/>
  </w:font>
  <w:font w:name="楷体_GB2312">
    <w:altName w:val="楷体"/>
    <w:panose1 w:val="00000000000000000000"/>
    <w:charset w:val="00"/>
    <w:family w:val="auto"/>
    <w:pitch w:val="default"/>
    <w:sig w:usb0="00000000" w:usb1="00000000" w:usb2="00000000" w:usb3="00000000" w:csb0="00000000" w:csb1="00000000"/>
    <w:embedRegular r:id="rId5" w:fontKey="{80895906-CB44-49CC-8B26-EE75C0EA1F3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6" w:fontKey="{702554F7-EB7D-42D8-95D9-15C5491ADB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B07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7342F">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5027342F">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EA2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E763C">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00AE763C">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2F6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B38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70A51"/>
    <w:multiLevelType w:val="singleLevel"/>
    <w:tmpl w:val="B4C70A51"/>
    <w:lvl w:ilvl="0" w:tentative="0">
      <w:start w:val="1"/>
      <w:numFmt w:val="taiwaneseCounting"/>
      <w:suff w:val="nothing"/>
      <w:lvlText w:val="%1、"/>
      <w:lvlJc w:val="left"/>
      <w:pPr>
        <w:ind w:left="0" w:firstLine="640"/>
      </w:pPr>
      <w:rPr>
        <w:rFonts w:hint="eastAsia"/>
      </w:rPr>
    </w:lvl>
  </w:abstractNum>
  <w:abstractNum w:abstractNumId="1">
    <w:nsid w:val="BAF79CB1"/>
    <w:multiLevelType w:val="singleLevel"/>
    <w:tmpl w:val="BAF79CB1"/>
    <w:lvl w:ilvl="0" w:tentative="0">
      <w:start w:val="1"/>
      <w:numFmt w:val="chineseCounting"/>
      <w:suff w:val="nothing"/>
      <w:lvlText w:val="（%1）"/>
      <w:lvlJc w:val="left"/>
      <w:pPr>
        <w:ind w:left="0" w:firstLine="616"/>
      </w:pPr>
      <w:rPr>
        <w:rFonts w:hint="eastAsia"/>
      </w:rPr>
    </w:lvl>
  </w:abstractNum>
  <w:abstractNum w:abstractNumId="2">
    <w:nsid w:val="F149CBFA"/>
    <w:multiLevelType w:val="singleLevel"/>
    <w:tmpl w:val="F149CBFA"/>
    <w:lvl w:ilvl="0" w:tentative="0">
      <w:start w:val="1"/>
      <w:numFmt w:val="taiwaneseCounting"/>
      <w:suff w:val="nothing"/>
      <w:lvlText w:val="（%1）"/>
      <w:lvlJc w:val="left"/>
      <w:pPr>
        <w:ind w:left="0" w:firstLine="616"/>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evenAndOddHeaders w:val="1"/>
  <w:drawingGridHorizontalSpacing w:val="158"/>
  <w:drawingGridVerticalSpacing w:val="29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7E1C"/>
    <w:rsid w:val="022A58F5"/>
    <w:rsid w:val="0350044F"/>
    <w:rsid w:val="069C7E1C"/>
    <w:rsid w:val="0CDA502B"/>
    <w:rsid w:val="224C1B94"/>
    <w:rsid w:val="23CD644A"/>
    <w:rsid w:val="273F6164"/>
    <w:rsid w:val="314C0871"/>
    <w:rsid w:val="3B0C4680"/>
    <w:rsid w:val="40C17CBA"/>
    <w:rsid w:val="43C31971"/>
    <w:rsid w:val="48E46C3C"/>
    <w:rsid w:val="689773CF"/>
    <w:rsid w:val="691D346F"/>
    <w:rsid w:val="6E6763DE"/>
    <w:rsid w:val="70DB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link w:val="19"/>
    <w:semiHidden/>
    <w:unhideWhenUsed/>
    <w:qFormat/>
    <w:uiPriority w:val="0"/>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semiHidden/>
    <w:unhideWhenUsed/>
    <w:qFormat/>
    <w:uiPriority w:val="0"/>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semiHidden/>
    <w:unhideWhenUsed/>
    <w:qFormat/>
    <w:uiPriority w:val="0"/>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0"/>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0"/>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0"/>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0"/>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0"/>
    <w:pPr>
      <w:spacing w:line="560" w:lineRule="exact"/>
      <w:ind w:firstLine="894" w:firstLineChars="200"/>
      <w:outlineLvl w:val="8"/>
    </w:pPr>
    <w:rPr>
      <w:rFonts w:ascii="仿宋_GB2312" w:hAnsi="仿宋_GB2312" w:eastAsia="仿宋_GB2312" w:cs="Times New Roman"/>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semiHidden/>
    <w:qFormat/>
    <w:uiPriority w:val="0"/>
    <w:pPr>
      <w:spacing w:line="560" w:lineRule="exact"/>
      <w:ind w:firstLine="630" w:firstLineChars="200"/>
      <w:jc w:val="both"/>
    </w:pPr>
    <w:rPr>
      <w:rFonts w:ascii="仿宋_GB2312" w:hAnsi="仿宋_GB2312" w:eastAsia="仿宋_GB2312" w:cs="Times New Roman"/>
      <w:spacing w:val="-6"/>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qFormat/>
    <w:uiPriority w:val="0"/>
    <w:pPr>
      <w:spacing w:line="720" w:lineRule="exact"/>
      <w:jc w:val="center"/>
      <w:outlineLvl w:val="0"/>
    </w:pPr>
    <w:rPr>
      <w:rFonts w:ascii="方正小标宋简体" w:hAnsi="方正小标宋简体" w:eastAsia="方正小标宋简体" w:cs="Times New Roman"/>
      <w:sz w:val="44"/>
      <w:szCs w:val="44"/>
    </w:rPr>
  </w:style>
  <w:style w:type="character" w:customStyle="1" w:styleId="19">
    <w:name w:val="标题 2 Char"/>
    <w:link w:val="3"/>
    <w:qFormat/>
    <w:uiPriority w:val="0"/>
    <w:rPr>
      <w:rFonts w:ascii="楷体_GB2312" w:hAnsi="楷体_GB2312"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1032</Characters>
  <Lines>0</Lines>
  <Paragraphs>0</Paragraphs>
  <TotalTime>0</TotalTime>
  <ScaleCrop>false</ScaleCrop>
  <LinksUpToDate>false</LinksUpToDate>
  <CharactersWithSpaces>1055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2025-08-04T11:05:00Z</dcterms:created>
  <dc:creator>保</dc:creator>
  <cp:lastModifiedBy>保</cp:lastModifiedBy>
  <dcterms:modified xsi:type="dcterms:W3CDTF">2025-08-05T00:12:23Z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70A56B8309A3427093F45AADDA3FDE05_13</vt:lpwstr>
  </property>
  <property fmtid="{D5CDD505-2E9C-101B-9397-08002B2CF9AE}" pid="4" name="KSOTemplateDocerSaveRecord">
    <vt:lpwstr>eyJoZGlkIjoiOTQ4NjhjZTg1ZjBjMjhhY2FkNjM1ODVjZTk0Mzc4N2YiLCJ1c2VySWQiOiI1NTQ0MTEwMDkifQ==</vt:lpwstr>
  </property>
</Properties>
</file>