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decimal" w:pos="315"/>
          <w:tab w:val="left" w:pos="630"/>
        </w:tabs>
        <w:spacing w:line="360" w:lineRule="auto"/>
        <w:ind w:firstLine="562" w:firstLineChars="200"/>
        <w:jc w:val="center"/>
        <w:outlineLvl w:val="0"/>
        <w:rPr>
          <w:rFonts w:hint="eastAsia"/>
          <w:color w:val="auto"/>
          <w:highlight w:val="none"/>
        </w:rPr>
      </w:pPr>
      <w:r>
        <w:rPr>
          <w:rFonts w:hint="eastAsia"/>
          <w:b/>
          <w:color w:val="auto"/>
          <w:sz w:val="28"/>
          <w:szCs w:val="28"/>
          <w:highlight w:val="none"/>
        </w:rPr>
        <w:t>服务需求</w:t>
      </w:r>
    </w:p>
    <w:p>
      <w:pPr>
        <w:tabs>
          <w:tab w:val="decimal" w:pos="315"/>
          <w:tab w:val="left" w:pos="630"/>
        </w:tabs>
        <w:spacing w:line="360" w:lineRule="auto"/>
        <w:ind w:firstLine="440" w:firstLineChars="200"/>
        <w:rPr>
          <w:rFonts w:hint="eastAsia"/>
          <w:color w:val="auto"/>
          <w:highlight w:val="none"/>
        </w:rPr>
      </w:pPr>
      <w:r>
        <w:rPr>
          <w:rFonts w:hint="eastAsia"/>
          <w:color w:val="auto"/>
          <w:highlight w:val="none"/>
        </w:rPr>
        <w:t>1</w:t>
      </w:r>
      <w:r>
        <w:rPr>
          <w:rFonts w:hint="eastAsia"/>
          <w:color w:val="auto"/>
          <w:highlight w:val="none"/>
          <w:lang w:val="en-US"/>
        </w:rPr>
        <w:t>.中山市第二人民医院（含南区分院）院内现有</w:t>
      </w:r>
      <w:bookmarkStart w:id="0" w:name="OLE_LINK5"/>
      <w:r>
        <w:rPr>
          <w:rFonts w:hint="eastAsia"/>
          <w:color w:val="auto"/>
          <w:highlight w:val="none"/>
          <w:lang w:val="en-US" w:eastAsia="zh-CN"/>
        </w:rPr>
        <w:t>各类</w:t>
      </w:r>
      <w:r>
        <w:rPr>
          <w:rFonts w:hint="eastAsia"/>
          <w:color w:val="auto"/>
          <w:highlight w:val="none"/>
          <w:lang w:val="en-US"/>
        </w:rPr>
        <w:t>服务器、交换机、</w:t>
      </w:r>
      <w:r>
        <w:rPr>
          <w:rFonts w:hint="eastAsia"/>
          <w:color w:val="auto"/>
          <w:highlight w:val="none"/>
          <w:lang w:val="en-US" w:eastAsia="zh-CN"/>
        </w:rPr>
        <w:t>路由器、台式</w:t>
      </w:r>
      <w:r>
        <w:rPr>
          <w:rFonts w:hint="eastAsia"/>
          <w:color w:val="auto"/>
          <w:highlight w:val="none"/>
          <w:lang w:val="en-US"/>
        </w:rPr>
        <w:t>电脑、</w:t>
      </w:r>
      <w:r>
        <w:rPr>
          <w:rFonts w:hint="eastAsia"/>
          <w:color w:val="auto"/>
          <w:highlight w:val="none"/>
          <w:lang w:val="en-US" w:eastAsia="zh-CN"/>
        </w:rPr>
        <w:t>笔记本电脑、</w:t>
      </w:r>
      <w:r>
        <w:rPr>
          <w:rFonts w:hint="eastAsia"/>
          <w:color w:val="auto"/>
          <w:highlight w:val="none"/>
          <w:lang w:val="en-US"/>
        </w:rPr>
        <w:t>显示器、针式打印机、激光打印机、热敏打印机、喷墨打印机、自助终端服务机、</w:t>
      </w:r>
      <w:r>
        <w:rPr>
          <w:rFonts w:hint="eastAsia"/>
          <w:color w:val="auto"/>
          <w:highlight w:val="none"/>
          <w:lang w:val="en-US" w:eastAsia="zh-CN"/>
        </w:rPr>
        <w:t>投影仪、会议设备、</w:t>
      </w:r>
      <w:r>
        <w:rPr>
          <w:rFonts w:hint="eastAsia" w:ascii="宋体" w:hAnsi="宋体" w:eastAsia="宋体" w:cs="宋体"/>
          <w:i w:val="0"/>
          <w:iCs w:val="0"/>
          <w:color w:val="auto"/>
          <w:kern w:val="0"/>
          <w:sz w:val="22"/>
          <w:szCs w:val="22"/>
          <w:highlight w:val="none"/>
          <w:u w:val="none"/>
          <w:lang w:val="en-US" w:eastAsia="zh-CN" w:bidi="ar"/>
        </w:rPr>
        <w:t>电子签名屏</w:t>
      </w:r>
      <w:r>
        <w:rPr>
          <w:rFonts w:hint="eastAsia" w:cs="宋体"/>
          <w:i w:val="0"/>
          <w:iCs w:val="0"/>
          <w:color w:val="auto"/>
          <w:kern w:val="0"/>
          <w:sz w:val="22"/>
          <w:szCs w:val="22"/>
          <w:highlight w:val="none"/>
          <w:u w:val="none"/>
          <w:lang w:val="en-US" w:eastAsia="zh-CN" w:bidi="ar"/>
        </w:rPr>
        <w:t>、</w:t>
      </w:r>
      <w:r>
        <w:rPr>
          <w:rFonts w:hint="eastAsia"/>
          <w:color w:val="auto"/>
          <w:highlight w:val="none"/>
          <w:lang w:val="en-US"/>
        </w:rPr>
        <w:t>门禁控制设备</w:t>
      </w:r>
      <w:r>
        <w:rPr>
          <w:rFonts w:hint="eastAsia"/>
          <w:color w:val="auto"/>
          <w:highlight w:val="none"/>
          <w:lang w:val="en-US" w:eastAsia="zh-CN"/>
        </w:rPr>
        <w:t>、机房监控设备、扫描设备、</w:t>
      </w:r>
      <w:r>
        <w:rPr>
          <w:rFonts w:hint="eastAsia"/>
          <w:color w:val="auto"/>
          <w:highlight w:val="none"/>
          <w:lang w:val="en-US"/>
        </w:rPr>
        <w:t>LED屏</w:t>
      </w:r>
      <w:r>
        <w:rPr>
          <w:rFonts w:hint="eastAsia"/>
          <w:color w:val="auto"/>
          <w:highlight w:val="none"/>
          <w:lang w:val="en-US" w:eastAsia="zh-CN"/>
        </w:rPr>
        <w:t>、信息安全设备、UPS等</w:t>
      </w:r>
      <w:r>
        <w:rPr>
          <w:rFonts w:hint="eastAsia"/>
          <w:color w:val="auto"/>
          <w:highlight w:val="none"/>
          <w:lang w:val="en-US"/>
        </w:rPr>
        <w:t>设备约1152台/套</w:t>
      </w:r>
      <w:bookmarkEnd w:id="0"/>
      <w:r>
        <w:rPr>
          <w:rFonts w:hint="eastAsia"/>
          <w:color w:val="auto"/>
          <w:highlight w:val="none"/>
          <w:lang w:val="en-US"/>
        </w:rPr>
        <w:t>（全院信息类设备维保包括合同履行期内采购人新增及超过了售后期的设备）</w:t>
      </w:r>
      <w:r>
        <w:rPr>
          <w:rFonts w:hint="eastAsia"/>
          <w:color w:val="auto"/>
          <w:highlight w:val="none"/>
        </w:rPr>
        <w:t>。</w:t>
      </w:r>
    </w:p>
    <w:p>
      <w:pPr>
        <w:spacing w:line="360" w:lineRule="auto"/>
        <w:ind w:firstLine="440" w:firstLineChars="200"/>
        <w:rPr>
          <w:rFonts w:hint="eastAsia"/>
          <w:color w:val="auto"/>
          <w:highlight w:val="none"/>
        </w:rPr>
      </w:pPr>
      <w:r>
        <w:rPr>
          <w:rFonts w:hint="eastAsia"/>
          <w:color w:val="auto"/>
          <w:highlight w:val="none"/>
          <w:lang w:val="en-US"/>
        </w:rPr>
        <w:t>本项目</w:t>
      </w:r>
      <w:r>
        <w:rPr>
          <w:rFonts w:hint="eastAsia"/>
          <w:color w:val="auto"/>
          <w:highlight w:val="none"/>
        </w:rPr>
        <w:t>合同履行期内</w:t>
      </w:r>
      <w:r>
        <w:rPr>
          <w:rFonts w:hint="eastAsia" w:ascii="宋体" w:hAnsi="宋体" w:cs="宋体"/>
          <w:color w:val="auto"/>
          <w:szCs w:val="21"/>
          <w:highlight w:val="none"/>
        </w:rPr>
        <w:t>对中山市第二人民医院及南区分院的信息类设备进行运行维护，维护</w:t>
      </w:r>
      <w:r>
        <w:rPr>
          <w:rFonts w:hint="eastAsia" w:ascii="宋体" w:hAnsi="宋体" w:cs="宋体"/>
          <w:color w:val="auto"/>
          <w:szCs w:val="21"/>
          <w:highlight w:val="none"/>
          <w:lang w:val="en-US" w:eastAsia="zh-CN"/>
        </w:rPr>
        <w:t>内容</w:t>
      </w:r>
      <w:r>
        <w:rPr>
          <w:rFonts w:hint="eastAsia" w:ascii="宋体" w:hAnsi="宋体" w:cs="宋体"/>
          <w:color w:val="auto"/>
          <w:szCs w:val="21"/>
          <w:highlight w:val="none"/>
        </w:rPr>
        <w:t>包含</w:t>
      </w:r>
      <w:r>
        <w:rPr>
          <w:rFonts w:hint="eastAsia" w:ascii="宋体" w:hAnsi="宋体" w:cs="宋体"/>
          <w:color w:val="auto"/>
          <w:szCs w:val="21"/>
          <w:highlight w:val="none"/>
          <w:lang w:val="en-US" w:eastAsia="zh-CN"/>
        </w:rPr>
        <w:t>设备</w:t>
      </w:r>
      <w:r>
        <w:rPr>
          <w:rFonts w:hint="eastAsia" w:ascii="宋体" w:hAnsi="宋体" w:cs="宋体"/>
          <w:color w:val="auto"/>
          <w:szCs w:val="21"/>
          <w:highlight w:val="none"/>
        </w:rPr>
        <w:t>维修、配件</w:t>
      </w:r>
      <w:r>
        <w:rPr>
          <w:rFonts w:hint="eastAsia" w:ascii="宋体" w:hAnsi="宋体" w:cs="宋体"/>
          <w:color w:val="auto"/>
          <w:szCs w:val="21"/>
          <w:highlight w:val="none"/>
          <w:lang w:val="en-US" w:eastAsia="zh-CN"/>
        </w:rPr>
        <w:t>更换</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维修过程</w:t>
      </w:r>
      <w:r>
        <w:rPr>
          <w:rFonts w:hint="eastAsia" w:ascii="宋体" w:hAnsi="宋体" w:cs="宋体"/>
          <w:color w:val="auto"/>
          <w:szCs w:val="21"/>
          <w:highlight w:val="none"/>
        </w:rPr>
        <w:t>运输、</w:t>
      </w:r>
      <w:r>
        <w:rPr>
          <w:rFonts w:hint="eastAsia" w:ascii="宋体" w:hAnsi="宋体" w:cs="宋体"/>
          <w:color w:val="auto"/>
          <w:szCs w:val="21"/>
          <w:highlight w:val="none"/>
          <w:lang w:val="en-US" w:eastAsia="zh-CN"/>
        </w:rPr>
        <w:t>弱电布线、</w:t>
      </w:r>
      <w:r>
        <w:rPr>
          <w:rFonts w:hint="eastAsia" w:ascii="宋体" w:hAnsi="宋体" w:cs="宋体"/>
          <w:color w:val="auto"/>
          <w:szCs w:val="21"/>
          <w:highlight w:val="none"/>
        </w:rPr>
        <w:t>办公电脑硬盘重要数据恢复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服务器漏洞修复</w:t>
      </w:r>
      <w:r>
        <w:rPr>
          <w:rFonts w:hint="eastAsia" w:cs="宋体"/>
          <w:color w:val="auto"/>
          <w:szCs w:val="21"/>
          <w:highlight w:val="none"/>
          <w:lang w:val="en-US" w:eastAsia="zh-CN"/>
        </w:rPr>
        <w:t>、</w:t>
      </w:r>
      <w:r>
        <w:rPr>
          <w:rFonts w:hint="eastAsia" w:ascii="宋体" w:hAnsi="宋体" w:cs="宋体"/>
          <w:color w:val="auto"/>
          <w:szCs w:val="21"/>
          <w:highlight w:val="none"/>
          <w:lang w:val="en-US" w:eastAsia="zh-CN"/>
        </w:rPr>
        <w:t>备品备件</w:t>
      </w:r>
      <w:r>
        <w:rPr>
          <w:rFonts w:hint="eastAsia" w:ascii="宋体" w:hAnsi="宋体" w:cs="宋体"/>
          <w:color w:val="auto"/>
          <w:szCs w:val="21"/>
          <w:highlight w:val="none"/>
        </w:rPr>
        <w:t>等相关费用（</w:t>
      </w:r>
      <w:r>
        <w:rPr>
          <w:rFonts w:hint="eastAsia"/>
          <w:color w:val="auto"/>
          <w:highlight w:val="none"/>
        </w:rPr>
        <w:t>厂家保修范围内设备，提供协助服务</w:t>
      </w:r>
      <w:r>
        <w:rPr>
          <w:rFonts w:hint="eastAsia" w:ascii="宋体" w:hAnsi="宋体" w:cs="宋体"/>
          <w:color w:val="auto"/>
          <w:szCs w:val="21"/>
          <w:highlight w:val="none"/>
        </w:rPr>
        <w:t>），并含医院硬件终端设备合同履行期使用的打印耗材，及打印纸、热敏打印纸、不干胶打印纸等办公用纸（不包含复印纸）。保证在合同期限内计算机类办公设备完好率97%以上，信息类基础设备及网络设备100%完好率。</w:t>
      </w:r>
      <w:r>
        <w:rPr>
          <w:rFonts w:hint="eastAsia"/>
          <w:color w:val="auto"/>
          <w:highlight w:val="none"/>
        </w:rPr>
        <w:t>（备注：不含医疗耗材，手腕带之类等。设备列表只提供参考，维护数量以实际情况为准，</w:t>
      </w:r>
      <w:r>
        <w:rPr>
          <w:rFonts w:hint="eastAsia"/>
          <w:color w:val="auto"/>
          <w:highlight w:val="none"/>
          <w:lang w:val="en-US"/>
        </w:rPr>
        <w:t>供应商</w:t>
      </w:r>
      <w:r>
        <w:rPr>
          <w:rFonts w:hint="eastAsia"/>
          <w:color w:val="auto"/>
          <w:highlight w:val="none"/>
        </w:rPr>
        <w:t>在报价前可以到医院进行</w:t>
      </w:r>
      <w:r>
        <w:rPr>
          <w:rFonts w:hint="eastAsia"/>
          <w:color w:val="auto"/>
          <w:highlight w:val="none"/>
          <w:lang w:val="en-US"/>
        </w:rPr>
        <w:t>实地</w:t>
      </w:r>
      <w:r>
        <w:rPr>
          <w:rFonts w:hint="eastAsia"/>
          <w:color w:val="auto"/>
          <w:highlight w:val="none"/>
        </w:rPr>
        <w:t>考察或电话咨询。）</w:t>
      </w:r>
    </w:p>
    <w:p>
      <w:pPr>
        <w:spacing w:line="360" w:lineRule="auto"/>
        <w:ind w:firstLine="440" w:firstLineChars="200"/>
        <w:rPr>
          <w:rFonts w:hint="eastAsia"/>
          <w:color w:val="auto"/>
          <w:highlight w:val="none"/>
        </w:rPr>
      </w:pPr>
      <w:r>
        <w:rPr>
          <w:rFonts w:hint="eastAsia"/>
          <w:color w:val="auto"/>
          <w:highlight w:val="none"/>
        </w:rPr>
        <w:t>（1）信息类设备明细表（六年内）</w:t>
      </w:r>
    </w:p>
    <w:tbl>
      <w:tblPr>
        <w:tblStyle w:val="30"/>
        <w:tblW w:w="10200" w:type="dxa"/>
        <w:tblInd w:w="-828" w:type="dxa"/>
        <w:tblLayout w:type="autofit"/>
        <w:tblCellMar>
          <w:top w:w="0" w:type="dxa"/>
          <w:left w:w="108" w:type="dxa"/>
          <w:bottom w:w="0" w:type="dxa"/>
          <w:right w:w="108" w:type="dxa"/>
        </w:tblCellMar>
      </w:tblPr>
      <w:tblGrid>
        <w:gridCol w:w="580"/>
        <w:gridCol w:w="2461"/>
        <w:gridCol w:w="2306"/>
        <w:gridCol w:w="1316"/>
        <w:gridCol w:w="1316"/>
        <w:gridCol w:w="567"/>
        <w:gridCol w:w="567"/>
        <w:gridCol w:w="1275"/>
      </w:tblGrid>
      <w:tr>
        <w:tblPrEx>
          <w:tblCellMar>
            <w:top w:w="0" w:type="dxa"/>
            <w:left w:w="108" w:type="dxa"/>
            <w:bottom w:w="0" w:type="dxa"/>
            <w:right w:w="108" w:type="dxa"/>
          </w:tblCellMar>
        </w:tblPrEx>
        <w:trPr>
          <w:trHeight w:val="402"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bookmarkStart w:id="1" w:name="OLE_LINK1" w:colFirst="0" w:colLast="7"/>
            <w:r>
              <w:rPr>
                <w:rFonts w:hint="eastAsia" w:ascii="宋体" w:hAnsi="宋体" w:eastAsia="宋体" w:cs="宋体"/>
                <w:i w:val="0"/>
                <w:iCs w:val="0"/>
                <w:color w:val="auto"/>
                <w:kern w:val="0"/>
                <w:sz w:val="22"/>
                <w:szCs w:val="22"/>
                <w:highlight w:val="none"/>
                <w:u w:val="none"/>
                <w:lang w:val="en-US" w:eastAsia="zh-CN" w:bidi="ar"/>
              </w:rPr>
              <w:t>序号</w:t>
            </w:r>
          </w:p>
        </w:tc>
        <w:tc>
          <w:tcPr>
            <w:tcW w:w="246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资产名称</w:t>
            </w:r>
          </w:p>
        </w:tc>
        <w:tc>
          <w:tcPr>
            <w:tcW w:w="230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型号</w:t>
            </w:r>
          </w:p>
        </w:tc>
        <w:tc>
          <w:tcPr>
            <w:tcW w:w="112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品牌</w:t>
            </w:r>
          </w:p>
        </w:tc>
        <w:tc>
          <w:tcPr>
            <w:tcW w:w="13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时间</w:t>
            </w:r>
          </w:p>
        </w:tc>
        <w:tc>
          <w:tcPr>
            <w:tcW w:w="56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56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27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备注</w:t>
            </w:r>
          </w:p>
        </w:tc>
      </w:tr>
      <w:bookmarkEnd w:id="1"/>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高清采集卡</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Pro Capture HDMI</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美乐威</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2025-03-25</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原厂保修期一年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东集股份药品追溯码识别终端</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JP5</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东集</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2025-03-13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原厂保修期一年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医院自助挂号缴费机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KER-TS06A</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KER</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2025-02-20</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原厂保修期一年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功放</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MA-60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艾迪生</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2024-12-25</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网络液晶一体机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LED43-A64P-H</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神州视翰</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2024-12-25</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网络液晶一体机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LED19-MSPAD-H</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神州视翰</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2024-12-25</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多媒体播放终端</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H-BOX-H</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神州视翰</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2024-12-25</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服务器内存条</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64GTruDDR43200MHz（2R×41.2v）RDIMM</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2024-12-05</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原厂保修期一年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服务器硬盘</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4tb 7.2k6gbps 3.5 sata</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2024-12-05</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原厂保修期一年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网络液晶一体机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LED19-MSPAD-H</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神州视翰</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2024-11-28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多媒体播放终端</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H-BOX-H</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神州视翰</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2024-11-28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智能电子签名屏（PAD）</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E01</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医信签</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2024-11-28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原厂保修期一年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智能自助服务终端</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CS-SD22-CPIBS</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神州视翰</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2024-11-28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通用服务器</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TaiShan 200（Model 2280）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华为</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2024-10-29</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智能</w:t>
            </w:r>
            <w:bookmarkStart w:id="2" w:name="OLE_LINK4"/>
            <w:r>
              <w:rPr>
                <w:rFonts w:hint="eastAsia" w:ascii="宋体" w:hAnsi="宋体" w:eastAsia="宋体" w:cs="宋体"/>
                <w:i w:val="0"/>
                <w:iCs w:val="0"/>
                <w:color w:val="auto"/>
                <w:kern w:val="0"/>
                <w:sz w:val="22"/>
                <w:szCs w:val="22"/>
                <w:highlight w:val="none"/>
                <w:u w:val="none"/>
                <w:lang w:val="en-US" w:eastAsia="zh-CN" w:bidi="ar"/>
              </w:rPr>
              <w:t>电子签名屏</w:t>
            </w:r>
            <w:bookmarkEnd w:id="2"/>
            <w:r>
              <w:rPr>
                <w:rFonts w:hint="eastAsia" w:ascii="宋体" w:hAnsi="宋体" w:eastAsia="宋体" w:cs="宋体"/>
                <w:i w:val="0"/>
                <w:iCs w:val="0"/>
                <w:color w:val="auto"/>
                <w:kern w:val="0"/>
                <w:sz w:val="22"/>
                <w:szCs w:val="22"/>
                <w:highlight w:val="none"/>
                <w:u w:val="none"/>
                <w:lang w:val="en-US" w:eastAsia="zh-CN" w:bidi="ar"/>
              </w:rPr>
              <w:t>（PAD）</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E01</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医信签</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2024-08-15</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原厂保修期一年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功放</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T8-070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雷拓</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2024-07-18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网络液晶一体机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LED43-A64P-H</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神州视翰</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2024-07-18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网络液晶一体机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LED19-MSPAD-H</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神州视翰</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2024-07-18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多媒体播放终端</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H-BOX-H</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神州视翰</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2024-07-18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动环监控系统</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X803S</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建大</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2024-06-11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安全感知管理平台一体机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SIP-Y-2100-BY</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深信服</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2024-06-11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视频监控系统</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MC801</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建大</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2024-06-11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数据库审计</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DAS-1000-B1500-ZS</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深信服</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2024-06-11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边界防火墙</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AF-1000-FH1800A-GD</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深信服</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2024-06-11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上网行为审计</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AC-1000-SK2100-ZJ</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深信服</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2024-06-11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高清采集卡</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Pro Capture HDMI</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美乐威</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2024-05-20</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原厂保修期一年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身份证读卡器</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EST-100U</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得实</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2024-04-16</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路由器</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容量≥305G，并发数≥5万，4光+4光电Combo端口（含电源2台）</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H3C</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2024-03-22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机架式不间断电源</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机架式不间断电源EA903SRT</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易事特</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2024-03-22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不间断电源柜(UPS)</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不间断电源EA9020H(电池16节、12V100AH，C-16)</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易事特</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2024-03-22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接入交换机（POE）</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RJ45，交换容量336Gbps/3.36Tbps，包转发率126Mpps</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H3C</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2024-03-22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接入交换机（非POE）</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RJ45，4个千兆光口(SFP,LC)</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H3C</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2024-03-22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商显一体机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NY-LED-H65</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南翼</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2024-03-22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监视器</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55寸液晶监视器</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2024-03-22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防火墙设备(含软件）</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2个UBS，19寸机架，单电源</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H3C</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2024-03-22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投影机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AL-LU513</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光峰</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2023-12-19</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南区分院-智能化系统工程（计算机部分）</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2023-09-12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条码打印机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DL-630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得实</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2023-07-25</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高拍仪</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H8A-1</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华通</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2023-05-24</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多媒体分诊系统数据支撑平台</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启天M455-A094</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2023-05-23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功放</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TS-070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雷拓</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2023-05-23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医疗分诊专用终端</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LED55-MSTV-H</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神州视翰</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2023-05-23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医疗分诊专用终端</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LED43-MSTV-H</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神州视翰</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2023-05-23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医疗分诊专用终端</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LED32-MSTV-H</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神州视翰</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2023-05-23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医疗服务自助终端机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LED22-MSTV-M</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神州视翰</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2023-05-23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医疗分诊专用终端</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LED19-MSPAD-H</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神州视翰</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2023-05-23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电子签名屏（有线）</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医信签-YF1012</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2022-12-09</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电子签名屏（无线）</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医信签-H800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2022-12-09</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异地实时备份一体机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I2BOX</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英方</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2022-11-25</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机架式服务器</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H3C UniServer R4900 G3 12LFF CTO</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新华三</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2022-11-10</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复印机（复印打印扫描一体机）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M8124cidn</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Kyocera/京瓷</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2022-09-01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机架式服务器</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HPE DL388 Gen10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华三</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2022-08-25</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华为阵列麦克风</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VPM220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华为</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2022-08-08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台式计算机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启天M540-B231</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2022-07-18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原厂保修期五年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多功能一体机（传真机）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M227fdn</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2022-07-18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笔记本电脑</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Latitude 3320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戴尔</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2022-07-18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条码打印机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DL-630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得实</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2022-07-18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原厂保修期三年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IC卡考勤设备</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2022-03-24</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核酸通PDA</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CRUISE Ge-H</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东大集成</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2022-03-21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交换机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H3C MS4100V2-52P</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新华三</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2021-12-24</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HIS存储</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HPE MSA2050双控制器存储</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HPE</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2021-12-05</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服务器</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H3C R4900 G3</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新华</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2021-12-05</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台式计算机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启天M540-A582</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2021-11-23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原厂保修期五年</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高拍仪</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S920A3</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良田</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2021-11-23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复印机（复印打印扫描一体机）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M8124cidn</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京瓷</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2021-11-19</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扫描仪</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Pro 2500 fl</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2021-11-18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多功能一体机（传真机）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M227fdn</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2021-11-18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激光打印机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LBP222DN</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佳能</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2021-11-18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打印机（标签条码打印机）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DL630（半切刀）</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得实</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2021-11-18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笔记本电脑</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DELL LATH II UDE 3420 CTO</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戴尔</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2021-11-18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投影仪</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CB-U50 3LCD</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爱普生</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2021-11-18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LED显示屏</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ML32*192-1G-4.0-ISR</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积目</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2021-10-13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等保一体机硬件平台</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SdSec-1000-C600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深信服</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2021-09-28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全流量威胁分析系统</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NTA-100-B620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深信服</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2021-09-28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防火墙</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AF-1000-B1600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深信服</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2021-09-28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“新冠”筛查、转运、收治管理体系</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视联医疗V1.0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中拓</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2021-09-27</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收费显示器</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BJQ-02</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积目</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2021-07-08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视频会议会议室终端</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TE40-1080P30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上海华盖</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2021-06-28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UPS不间断电源</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GP810-10KVA</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宝士达</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2020-12-10</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UPS不间断电源</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EP60-60KVA</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宝士达</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2020-12-10</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视察室会议系统</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TE30-1080P-00C</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华为</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2020-04-02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病区视频会议系统</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TE20-5X-00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华为</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2020-04-02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台式计算机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启天M425-D004</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2020-03-19</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交换机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LS-5500V2-54S-EI</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华三</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2020-03-19</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激光打印机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HL-5590DN</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兄弟牌</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2020-03-19</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针式打印机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DS-2600II</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得实</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2020-03-19</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条码打印机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DL-630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得实</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2020-03-19</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扫描仪</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F1120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UNIS/紫光</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2019-12-20</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笔记本电脑</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昭阳K43c-80043</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2019-12-19</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复印机（复印打印扫描一体机）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施乐C2265</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富士施乐</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2019-12-19</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台式计算机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启天M425-D004</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2019-12-19</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多功能一体机（传真机）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LaserJet Pro MFPM128fp</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2019-12-19</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喷墨打印机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iB4180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佳能</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2019-12-19</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激光打印机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HL-5590DN</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兄弟（brother)</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2019-12-19</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复印机（复印打印扫描一体机）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DC-V 3060CPS</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富士施乐</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2019-12-19</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复印机（复印打印扫描一体机）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C2265</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富士施乐</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2019-12-11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台式计算机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启天M425-D004</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2019-12-10</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多功能一体机（传真机）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HP M128FP A4</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2019-12-10</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条码打印机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DL-630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得实</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2019-12-10</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激光打印机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HL-5590DN</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兄弟</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2019-12-03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针式打印机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DS-2600II</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DASCOM/得实</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2019-12-03</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惠普机架式服务器</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DL388 Gen10 2U</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2019-08-07</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CellMar>
            <w:top w:w="0" w:type="dxa"/>
            <w:left w:w="108" w:type="dxa"/>
            <w:bottom w:w="0" w:type="dxa"/>
            <w:right w:w="108" w:type="dxa"/>
          </w:tblCellMar>
        </w:tblPrEx>
        <w:trPr>
          <w:trHeight w:val="402" w:hRule="atLeast"/>
        </w:trPr>
        <w:tc>
          <w:tcPr>
            <w:tcW w:w="5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2461"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检查报告查询打印一体机</w:t>
            </w:r>
          </w:p>
        </w:tc>
        <w:tc>
          <w:tcPr>
            <w:tcW w:w="23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HL-1600</w:t>
            </w:r>
          </w:p>
        </w:tc>
        <w:tc>
          <w:tcPr>
            <w:tcW w:w="112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华利伟业</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2019-06-28</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w:t>
            </w:r>
          </w:p>
        </w:tc>
      </w:tr>
    </w:tbl>
    <w:p>
      <w:pPr>
        <w:spacing w:line="360" w:lineRule="auto"/>
        <w:ind w:firstLine="440" w:firstLineChars="200"/>
        <w:rPr>
          <w:rFonts w:hint="eastAsia"/>
          <w:color w:val="auto"/>
          <w:highlight w:val="none"/>
        </w:rPr>
      </w:pPr>
      <w:r>
        <w:rPr>
          <w:rFonts w:hint="eastAsia"/>
          <w:color w:val="auto"/>
          <w:highlight w:val="none"/>
        </w:rPr>
        <w:t>（2）信息类设备明细表（超六年以上）</w:t>
      </w:r>
    </w:p>
    <w:tbl>
      <w:tblPr>
        <w:tblStyle w:val="30"/>
        <w:tblW w:w="9868" w:type="dxa"/>
        <w:tblInd w:w="-470" w:type="dxa"/>
        <w:tblLayout w:type="autofit"/>
        <w:tblCellMar>
          <w:top w:w="0" w:type="dxa"/>
          <w:left w:w="108" w:type="dxa"/>
          <w:bottom w:w="0" w:type="dxa"/>
          <w:right w:w="108" w:type="dxa"/>
        </w:tblCellMar>
      </w:tblPr>
      <w:tblGrid>
        <w:gridCol w:w="620"/>
        <w:gridCol w:w="2560"/>
        <w:gridCol w:w="2526"/>
        <w:gridCol w:w="1426"/>
        <w:gridCol w:w="1316"/>
        <w:gridCol w:w="680"/>
        <w:gridCol w:w="740"/>
      </w:tblGrid>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序号</w:t>
            </w:r>
          </w:p>
        </w:tc>
        <w:tc>
          <w:tcPr>
            <w:tcW w:w="256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设备名称</w:t>
            </w:r>
          </w:p>
        </w:tc>
        <w:tc>
          <w:tcPr>
            <w:tcW w:w="252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型号</w:t>
            </w:r>
          </w:p>
        </w:tc>
        <w:tc>
          <w:tcPr>
            <w:tcW w:w="142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品牌</w:t>
            </w:r>
          </w:p>
        </w:tc>
        <w:tc>
          <w:tcPr>
            <w:tcW w:w="131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时间</w:t>
            </w:r>
          </w:p>
        </w:tc>
        <w:tc>
          <w:tcPr>
            <w:tcW w:w="68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数量</w:t>
            </w:r>
          </w:p>
        </w:tc>
        <w:tc>
          <w:tcPr>
            <w:tcW w:w="74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单位</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视频采集卡</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multin media series 210</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Osprey牌</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2008-06-27</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医用多媒体互动学习机</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P130型</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好医生牌</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2008-12-16</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bookmarkStart w:id="3" w:name="OLE_LINK2"/>
            <w:r>
              <w:rPr>
                <w:rFonts w:hint="eastAsia" w:ascii="宋体" w:hAnsi="宋体" w:eastAsia="宋体" w:cs="宋体"/>
                <w:i w:val="0"/>
                <w:iCs w:val="0"/>
                <w:color w:val="auto"/>
                <w:kern w:val="0"/>
                <w:sz w:val="22"/>
                <w:szCs w:val="22"/>
                <w:highlight w:val="none"/>
                <w:u w:val="none"/>
                <w:lang w:val="en-US" w:eastAsia="zh-CN" w:bidi="ar"/>
              </w:rPr>
              <w:t>台</w:t>
            </w:r>
            <w:bookmarkEnd w:id="3"/>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分诊条屏</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TRU360B-2</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2010-11-15</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医学影像诊断显示器</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FLEXSCANS1932</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艺卓牌</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2010-12-06</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计算机服务器</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X3650(双CPU)</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IBM</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2010-12-14</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计算机服务器</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X3650 M3(单CPU)</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IBM</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2010-12-14</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其他计算机外存储设备</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2011-07-25</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条码扫描器</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Ls9203</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Symbol</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2011-11-14</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条码扫描器</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Ls9203</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Symbol</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2011-11-14</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计算机网络工程(计算机配套设备)</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2012-03-14</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服务器</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HP DL380G</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2012-03-14</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投影仪</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PT-BX40NT</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松下</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2012-10-10</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生殖道感染防治活动研究服务器机柜</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2012-12-12</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医院网络信息化及存储系统</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2012-12-12</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生殖道感染防治活动研究KVM切换器</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2012-12-12</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生殖道感染防治活动研究数据存储</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2012-12-12</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生殖道感染防治活动研究数据服务器</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2012-12-12</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生殖道感染防治活动研究应用服务器</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2012-12-12</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DICOM网关服务器设备</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X3650M4E5-2603</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IBM</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2012-12-19</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DS4700硬盘</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5223 300G 2GB FC 10K</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IBM</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2012-12-20</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中央处理器</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XEON E5405</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INTEL</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2012-12-24</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服务器电源</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607W</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IBM</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2012-12-24</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服务器内存</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2GB DDR2</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hnnix</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2012-12-24</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条</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服务器内存</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39M5791 4GB</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IBM</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2012-12-25</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条</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计算机网络系统</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lang w:val="en-US"/>
              </w:rPr>
            </w:pPr>
            <w:r>
              <w:rPr>
                <w:rFonts w:hint="eastAsia" w:ascii="宋体" w:hAnsi="宋体" w:eastAsia="宋体" w:cs="宋体"/>
                <w:i w:val="0"/>
                <w:iCs w:val="0"/>
                <w:color w:val="auto"/>
                <w:kern w:val="0"/>
                <w:sz w:val="22"/>
                <w:szCs w:val="22"/>
                <w:highlight w:val="none"/>
                <w:u w:val="none"/>
                <w:lang w:val="en-US" w:eastAsia="zh-CN" w:bidi="ar"/>
              </w:rPr>
              <w:t>无</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2013-07-27</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台式计算机</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启天M4350(18.5WLCD)</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2013-08-01</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12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激光打印机</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HP P1606DN</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2013-08-01</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台式计算机</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启天M7170</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2013-08-03</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投影仪</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VPL-DX11</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索尼</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2013-08-03</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条码扫描器</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LS9203</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SYMBOL</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2013-08-03</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笔记本电脑</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lang w:val="en-US"/>
              </w:rPr>
            </w:pPr>
            <w:r>
              <w:rPr>
                <w:rFonts w:hint="eastAsia" w:ascii="宋体" w:hAnsi="宋体" w:eastAsia="宋体" w:cs="宋体"/>
                <w:i w:val="0"/>
                <w:iCs w:val="0"/>
                <w:color w:val="auto"/>
                <w:kern w:val="0"/>
                <w:sz w:val="22"/>
                <w:szCs w:val="22"/>
                <w:highlight w:val="none"/>
                <w:u w:val="none"/>
                <w:lang w:val="en-US" w:eastAsia="zh-CN" w:bidi="ar"/>
              </w:rPr>
              <w:t>IdeaPad U470A-ITH(H)</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2013-08-03</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打印复印一体机</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3210MFP/N</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富士施乐</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2013-08-03</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投影屏幕</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120寸(电动)</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红叶</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2013-08-03</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脚踏开关</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2013-08-07</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双屏影像工作站</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启天M7100</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2013-08-07</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影像采集卡</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Osprey 210</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2013-08-07</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2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PACS网关服务器</w:t>
            </w:r>
          </w:p>
        </w:tc>
        <w:tc>
          <w:tcPr>
            <w:tcW w:w="25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HP GD-DICOM-V3.5</w:t>
            </w:r>
          </w:p>
        </w:tc>
        <w:tc>
          <w:tcPr>
            <w:tcW w:w="14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2013-08-07</w:t>
            </w:r>
          </w:p>
        </w:tc>
        <w:tc>
          <w:tcPr>
            <w:tcW w:w="6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存储硬盘</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DS4700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IBM</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2014-01-02</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防火墙</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USG5160-02</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华为</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2014-06-11</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笔记本电脑</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ThinkPad X240-20AL001GCD</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2014-07-03</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投影仪</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PT-351C</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松下</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2014-07-03</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激光打印机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HP1606DN</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2014-07-03</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触摸屏排队机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TRU330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2014-12-03</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服务器</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X3650M4</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IBM</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2014-12-11</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显示器</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BJQ-01</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积目</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2015-06-24</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条码打印机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TBY-L058</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新北洋</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2015-12-01</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台式计算机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M4550-B420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启天</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2015-12-01</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17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条码扫描器</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Ds9208</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Motorola</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2015-12-01</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针式打印机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DS-2600Ⅱ</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得实</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2015-12-01</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标签打印机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DL210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得实</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2015-12-01</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打印复印一体机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AR2048</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夏普</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2015-12-01</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激光打印机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202DW</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2015-12-01</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投影仪</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EX340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索尼</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2015-12-07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笔记本电脑</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E450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联想Thinkpad</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2015-12-07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医疗显示器</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RS110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艺桌</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2015-12-24</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医学影像采集卡</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CGD-920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2016-01-27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显示器</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BJQ-01</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积目</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2016-06-22</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交换机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S2700-18TP-EI-AC</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华为</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2016-08-19</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台式计算机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启天M4550-N000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2016-08-23</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笔记本电脑</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710S-13.3</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2016-08-23</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条码打印机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新北洋TBY-L058II</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新北洋</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2016-09-13</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打印复印一体机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夏普AR2048N</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夏普</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2016-09-13</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台式计算机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启天M4550-B420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2016-09-13</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投影仪</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明基EH7928</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明基</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2016-09-13</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激光打印机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惠普202DW</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2016-09-13</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条码扫描器</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SYMBOLLS9208</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迅宝</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2016-09-13</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收费显示器</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BJQ-01</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积目</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2016-09-28</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专用档案扫描仪</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DS560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爱普生</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2016-11-21</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台式计算机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启天M4550-B563</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联想（lenovo)</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2016-12-07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18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台式计算机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启天M4550-B201</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联想（lenovo</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2016-12-07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条码打印机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TBY-L058II</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山东新北洋</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2016-12-07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条码扫描器</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Ds9208</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Motorola</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2016-12-07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针式打印机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DS-62011</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得实</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2016-12-07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针式打印机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DS1920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得实</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2016-12-07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针式打印机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DPK360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富士通（FUJITSU）</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2016-12-07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激光打印机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DocuPrint P268d</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富士施乐</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2016-12-07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13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切换器</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ATEN CS-1754</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ATEN</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2016-12-12</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服务器机柜</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6942</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金盾</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2016-12-12</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医学影像采集卡</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CGD-920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2016-12-19</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单模光纤模快</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SFP-GE-LX-SM1310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H3C</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2017-02-21</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布线机柜</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JD112 12U（50*470*620）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金盾</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2017-02-21</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交换机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H3C S5110-28P</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H3C</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2017-02-21</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身份证阅读器</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CPIDMR02/TG</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普天</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2017-05-22</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扫描仪</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Q210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UNIS/紫光</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2017-07-06</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多功能一体机（复印打印扫描一体机）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MFP M436nda</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HP/惠普</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2017-07-06</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多功能传真机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MFC-7480D</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BROTHER/兄弟</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2017-07-06</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笔记本电脑</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HP ProBook450G4-22011200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2017-07-06</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存储</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HPE MSA 2040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2017-07-26</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服务器</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HPE DL580 GEN9</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2017-07-26</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服务器</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HP DL380 G9</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2017-07-27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防火墙</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AF-1720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深信服</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2017-07-27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互联网边界安全一体机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aBOS-2000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MINI</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2017-07-27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服务器机柜</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金盾 ND6942</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金盾</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2017-09-05</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存储</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HPE MSA 2040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2017-09-05</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服务器</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HPE DL580 Gen9</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2017-09-05</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HBA卡</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82Q 8Gb 2-port双口光纤卡</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惠普</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2017-09-05</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切换器</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1308USB一拖八</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艾腾</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2017-09-05</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台式计算机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M415-B054商用</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联想启天</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2017-09-21</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131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饭堂消费系统</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2017-10-18</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语音消费机（卧式）POS</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699CTY-X</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依时利</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2017-10-18</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激光打印机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HL-5590DN</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兄弟</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2017-10-19</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针式打印机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Epson LQ-790K</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爱普生</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2017-10-19</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针式打印机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DS260011</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得实</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2017-10-19</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17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交换机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S5500V2-34S-E1</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H3C/华三</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2017-11-21</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门诊自助分诊一体机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HL1100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华利伟业</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2017-12-06</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条码打印机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DL630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得实</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2017-12-06</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28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多功能一体机（复印打印扫描一体机）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TASKalfa 3011i</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京瓷Kyocera</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2018-05-30</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收费显示器</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BJQ-01</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积目</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2018-05-30</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南区会议室LED显示屏系统</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TV-PH300-J</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ITC</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2018-07-17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大会议室LED显示屏系统</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TV-PH300-J</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ITC</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2018-07-17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小会议室LED显示屏系统</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TV-PH300-J</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ITC</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2018-07-17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大会议室音响系统</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TS-610/TS-500PI</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ITC</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2018-07-17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小会议室音响系统</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TS-608A/TS-350PI</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ITC</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2018-07-17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南区会议室音响系统</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TS-606H/TS-200PI</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ITC</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2018-07-17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触摸一体机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HL-1600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华利伟业</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2018-10-30</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自助分诊一体机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HL-1200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华利伟业</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2018-10-30</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舞台灯光系统</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汇通阳光512</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汇通</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2018-11-07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抢答系统</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MC-350GL</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步频</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2018-11-07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r>
      <w:tr>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多媒体控制系统</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K77S4T</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艾唱</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2018-11-07</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台式计算机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启天M415-D003</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联想</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2018-11-23</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16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扫描仪</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P902</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BenQ/明基</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2018-11-23</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多功能传真机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MFC-7480D</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BROTHER/兄弟</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2018-11-23</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喷墨打印机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IB4180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佳能</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2018-11-23</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激光打印机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HL-5590DN</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兄弟</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2018-11-23</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投影仪</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EB-C1040XN</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EPSON/爱普生</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2018-11-23</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条码打印机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DL630</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得实</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2018-11-23</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笔记本电脑</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昭阳K43c-80035</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Lenovo/联想</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2018-12-03</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控制机顶盒</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2955U</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英特尔</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2018-12-05</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核心交换机</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S7506E-X交换机</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H3C</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2018-12-26</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2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门禁系统</w:t>
            </w:r>
          </w:p>
        </w:tc>
        <w:tc>
          <w:tcPr>
            <w:tcW w:w="25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150个门禁控制器、312个门</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color w:val="auto"/>
                <w:highlight w:val="none"/>
                <w:lang w:val="en-US"/>
              </w:rPr>
            </w:pPr>
            <w:r>
              <w:rPr>
                <w:rFonts w:hint="eastAsia" w:cs="宋体"/>
                <w:i w:val="0"/>
                <w:iCs w:val="0"/>
                <w:color w:val="auto"/>
                <w:kern w:val="0"/>
                <w:sz w:val="22"/>
                <w:szCs w:val="22"/>
                <w:highlight w:val="none"/>
                <w:u w:val="none"/>
                <w:lang w:val="en-US" w:eastAsia="zh-CN" w:bidi="ar"/>
              </w:rPr>
              <w:t>2015-6</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套</w:t>
            </w:r>
          </w:p>
        </w:tc>
      </w:tr>
    </w:tbl>
    <w:p>
      <w:pPr>
        <w:spacing w:line="360" w:lineRule="auto"/>
        <w:rPr>
          <w:rFonts w:hint="eastAsia"/>
          <w:color w:val="auto"/>
          <w:highlight w:val="none"/>
        </w:rPr>
      </w:pPr>
      <w:r>
        <w:rPr>
          <w:rFonts w:hint="eastAsia"/>
          <w:b/>
          <w:color w:val="auto"/>
          <w:highlight w:val="none"/>
        </w:rPr>
        <w:t xml:space="preserve">    </w:t>
      </w:r>
      <w:r>
        <w:rPr>
          <w:rFonts w:hint="eastAsia"/>
          <w:color w:val="auto"/>
          <w:highlight w:val="none"/>
        </w:rPr>
        <w:t>（3）全院信息类设备耗材包含但不限于以下表格内容，还应包括合同履行期内，</w:t>
      </w:r>
      <w:r>
        <w:rPr>
          <w:rFonts w:hint="eastAsia"/>
          <w:color w:val="auto"/>
          <w:highlight w:val="none"/>
          <w:lang w:val="en-US"/>
        </w:rPr>
        <w:t>采购人</w:t>
      </w:r>
      <w:r>
        <w:rPr>
          <w:rFonts w:hint="eastAsia"/>
          <w:color w:val="auto"/>
          <w:highlight w:val="none"/>
        </w:rPr>
        <w:t>新购置的设备所需耗材。</w:t>
      </w:r>
    </w:p>
    <w:p>
      <w:pPr>
        <w:spacing w:line="360" w:lineRule="auto"/>
        <w:ind w:firstLine="440" w:firstLineChars="200"/>
        <w:rPr>
          <w:rFonts w:hint="eastAsia"/>
          <w:color w:val="auto"/>
          <w:highlight w:val="none"/>
        </w:rPr>
      </w:pPr>
      <w:r>
        <w:rPr>
          <w:rFonts w:hint="eastAsia"/>
          <w:color w:val="auto"/>
          <w:highlight w:val="none"/>
        </w:rPr>
        <w:t>成交人所提供的耗材必须是对应设备原装规格型号，硒鼓粉盒允许充装墨粉最多不超过3次，3次后必须换全新原装耗材。</w:t>
      </w:r>
    </w:p>
    <w:p>
      <w:pPr>
        <w:spacing w:line="360" w:lineRule="auto"/>
        <w:ind w:firstLine="440" w:firstLineChars="200"/>
        <w:rPr>
          <w:rFonts w:hint="eastAsia"/>
          <w:color w:val="auto"/>
          <w:highlight w:val="none"/>
        </w:rPr>
      </w:pPr>
      <w:r>
        <w:rPr>
          <w:rFonts w:hint="eastAsia"/>
          <w:color w:val="auto"/>
          <w:highlight w:val="none"/>
        </w:rPr>
        <w:t>打印耗材使用明细表如下：</w:t>
      </w:r>
    </w:p>
    <w:tbl>
      <w:tblPr>
        <w:tblStyle w:val="30"/>
        <w:tblW w:w="8364" w:type="dxa"/>
        <w:tblInd w:w="108" w:type="dxa"/>
        <w:tblLayout w:type="fixed"/>
        <w:tblCellMar>
          <w:top w:w="0" w:type="dxa"/>
          <w:left w:w="108" w:type="dxa"/>
          <w:bottom w:w="0" w:type="dxa"/>
          <w:right w:w="108" w:type="dxa"/>
        </w:tblCellMar>
      </w:tblPr>
      <w:tblGrid>
        <w:gridCol w:w="567"/>
        <w:gridCol w:w="5387"/>
        <w:gridCol w:w="1843"/>
        <w:gridCol w:w="567"/>
      </w:tblGrid>
      <w:tr>
        <w:tblPrEx>
          <w:tblCellMar>
            <w:top w:w="0" w:type="dxa"/>
            <w:left w:w="108" w:type="dxa"/>
            <w:bottom w:w="0" w:type="dxa"/>
            <w:right w:w="108" w:type="dxa"/>
          </w:tblCellMar>
        </w:tblPrEx>
        <w:trPr>
          <w:trHeight w:val="255"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b/>
                <w:bCs/>
                <w:color w:val="auto"/>
                <w:highlight w:val="none"/>
              </w:rPr>
            </w:pPr>
            <w:r>
              <w:rPr>
                <w:rFonts w:hint="eastAsia"/>
                <w:b/>
                <w:bCs/>
                <w:color w:val="auto"/>
                <w:highlight w:val="none"/>
              </w:rPr>
              <w:t>序号</w:t>
            </w:r>
          </w:p>
        </w:tc>
        <w:tc>
          <w:tcPr>
            <w:tcW w:w="538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b/>
                <w:bCs/>
                <w:color w:val="auto"/>
                <w:highlight w:val="none"/>
              </w:rPr>
            </w:pPr>
            <w:r>
              <w:rPr>
                <w:rFonts w:hint="eastAsia"/>
                <w:b/>
                <w:bCs/>
                <w:color w:val="auto"/>
                <w:highlight w:val="none"/>
              </w:rPr>
              <w:t>货品名称</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b/>
                <w:bCs/>
                <w:color w:val="auto"/>
                <w:highlight w:val="none"/>
              </w:rPr>
            </w:pPr>
            <w:r>
              <w:rPr>
                <w:rFonts w:hint="eastAsia"/>
                <w:b/>
                <w:bCs/>
                <w:color w:val="auto"/>
                <w:highlight w:val="none"/>
              </w:rPr>
              <w:t>规格型号</w:t>
            </w:r>
          </w:p>
        </w:tc>
        <w:tc>
          <w:tcPr>
            <w:tcW w:w="567" w:type="dxa"/>
            <w:vMerge w:val="restart"/>
            <w:tcBorders>
              <w:top w:val="single" w:color="auto" w:sz="4" w:space="0"/>
              <w:left w:val="nil"/>
              <w:bottom w:val="nil"/>
              <w:right w:val="single" w:color="auto" w:sz="4" w:space="0"/>
            </w:tcBorders>
            <w:vAlign w:val="center"/>
          </w:tcPr>
          <w:p>
            <w:pPr>
              <w:spacing w:line="360" w:lineRule="auto"/>
              <w:jc w:val="center"/>
              <w:rPr>
                <w:rFonts w:hint="eastAsia"/>
                <w:bCs/>
                <w:color w:val="auto"/>
                <w:highlight w:val="none"/>
              </w:rPr>
            </w:pPr>
          </w:p>
          <w:p>
            <w:pPr>
              <w:spacing w:line="360" w:lineRule="auto"/>
              <w:jc w:val="center"/>
              <w:rPr>
                <w:rFonts w:hint="eastAsia"/>
                <w:bCs/>
                <w:color w:val="auto"/>
                <w:highlight w:val="none"/>
              </w:rPr>
            </w:pPr>
          </w:p>
          <w:p>
            <w:pPr>
              <w:spacing w:line="360" w:lineRule="auto"/>
              <w:jc w:val="center"/>
              <w:rPr>
                <w:rFonts w:hint="eastAsia"/>
                <w:bCs/>
                <w:color w:val="auto"/>
                <w:highlight w:val="none"/>
              </w:rPr>
            </w:pPr>
          </w:p>
          <w:p>
            <w:pPr>
              <w:spacing w:line="360" w:lineRule="auto"/>
              <w:jc w:val="center"/>
              <w:rPr>
                <w:rFonts w:hint="eastAsia"/>
                <w:bCs/>
                <w:color w:val="auto"/>
                <w:highlight w:val="none"/>
              </w:rPr>
            </w:pPr>
          </w:p>
          <w:p>
            <w:pPr>
              <w:spacing w:line="360" w:lineRule="auto"/>
              <w:jc w:val="center"/>
              <w:rPr>
                <w:rFonts w:hint="eastAsia"/>
                <w:bCs/>
                <w:color w:val="auto"/>
                <w:highlight w:val="none"/>
              </w:rPr>
            </w:pPr>
          </w:p>
          <w:p>
            <w:pPr>
              <w:spacing w:line="360" w:lineRule="auto"/>
              <w:jc w:val="center"/>
              <w:rPr>
                <w:rFonts w:hint="eastAsia"/>
                <w:bCs/>
                <w:color w:val="auto"/>
                <w:highlight w:val="none"/>
              </w:rPr>
            </w:pPr>
          </w:p>
          <w:p>
            <w:pPr>
              <w:spacing w:line="360" w:lineRule="auto"/>
              <w:jc w:val="center"/>
              <w:rPr>
                <w:rFonts w:hint="eastAsia"/>
                <w:bCs/>
                <w:color w:val="auto"/>
                <w:highlight w:val="none"/>
              </w:rPr>
            </w:pPr>
          </w:p>
          <w:p>
            <w:pPr>
              <w:spacing w:line="360" w:lineRule="auto"/>
              <w:jc w:val="center"/>
              <w:rPr>
                <w:rFonts w:hint="eastAsia"/>
                <w:bCs/>
                <w:color w:val="auto"/>
                <w:highlight w:val="none"/>
              </w:rPr>
            </w:pPr>
          </w:p>
          <w:p>
            <w:pPr>
              <w:spacing w:line="360" w:lineRule="auto"/>
              <w:jc w:val="center"/>
              <w:rPr>
                <w:rFonts w:hint="eastAsia"/>
                <w:bCs/>
                <w:color w:val="auto"/>
                <w:highlight w:val="none"/>
              </w:rPr>
            </w:pPr>
            <w:r>
              <w:rPr>
                <w:rFonts w:hint="eastAsia"/>
                <w:bCs/>
                <w:color w:val="auto"/>
                <w:highlight w:val="none"/>
              </w:rPr>
              <w:t>根据医院实际使用情况定</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惠普 双支装黑色硒鼓</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CC388AD</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lang w:val="en-US"/>
              </w:rPr>
            </w:pPr>
            <w:r>
              <w:rPr>
                <w:rFonts w:hint="eastAsia"/>
                <w:color w:val="auto"/>
                <w:highlight w:val="none"/>
              </w:rPr>
              <w:t>惠普</w:t>
            </w:r>
            <w:r>
              <w:rPr>
                <w:rFonts w:hint="eastAsia"/>
                <w:color w:val="auto"/>
                <w:highlight w:val="none"/>
                <w:lang w:val="en-US"/>
              </w:rPr>
              <w:t xml:space="preserve">（HP）CF256A 56A </w:t>
            </w:r>
            <w:r>
              <w:rPr>
                <w:rFonts w:hint="eastAsia"/>
                <w:color w:val="auto"/>
                <w:highlight w:val="none"/>
              </w:rPr>
              <w:t>硒鼓</w:t>
            </w:r>
            <w:r>
              <w:rPr>
                <w:rFonts w:hint="eastAsia"/>
                <w:color w:val="auto"/>
                <w:highlight w:val="none"/>
                <w:lang w:val="en-US"/>
              </w:rPr>
              <w:t xml:space="preserve"> </w:t>
            </w:r>
            <w:r>
              <w:rPr>
                <w:rFonts w:hint="eastAsia"/>
                <w:color w:val="auto"/>
                <w:highlight w:val="none"/>
              </w:rPr>
              <w:t>黑色</w:t>
            </w:r>
            <w:r>
              <w:rPr>
                <w:rFonts w:hint="eastAsia"/>
                <w:color w:val="auto"/>
                <w:highlight w:val="none"/>
                <w:lang w:val="en-US"/>
              </w:rPr>
              <w:t xml:space="preserve"> </w:t>
            </w:r>
            <w:r>
              <w:rPr>
                <w:rFonts w:hint="eastAsia"/>
                <w:color w:val="auto"/>
                <w:highlight w:val="none"/>
              </w:rPr>
              <w:t>适用于</w:t>
            </w:r>
            <w:r>
              <w:rPr>
                <w:rFonts w:hint="eastAsia"/>
                <w:color w:val="auto"/>
                <w:highlight w:val="none"/>
                <w:lang w:val="en-US"/>
              </w:rPr>
              <w:t>HP M436</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CF256A</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惠普（HP）Q2612A 12A原装硒鼓12A适用HP1010 1012 1015 1020 1022</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Q2612A</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富士施乐碳粉V2263（五代）</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CT202496黑</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佳能墨盒黑色</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2800BK</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佳能墨盒蓝色</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2800C</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佳能墨盒黄色</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2800Y</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佳能墨盒红色</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2800M</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富士施乐鼓2056</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CT350938</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lang w:val="en-US"/>
              </w:rPr>
            </w:pPr>
            <w:r>
              <w:rPr>
                <w:rFonts w:hint="eastAsia"/>
                <w:color w:val="auto"/>
                <w:highlight w:val="none"/>
              </w:rPr>
              <w:t>惠普</w:t>
            </w:r>
            <w:r>
              <w:rPr>
                <w:rFonts w:hint="eastAsia"/>
                <w:color w:val="auto"/>
                <w:highlight w:val="none"/>
                <w:lang w:val="en-US"/>
              </w:rPr>
              <w:t xml:space="preserve">（HP）CE505A </w:t>
            </w:r>
            <w:r>
              <w:rPr>
                <w:rFonts w:hint="eastAsia"/>
                <w:color w:val="auto"/>
                <w:highlight w:val="none"/>
              </w:rPr>
              <w:t>黑色硒鼓</w:t>
            </w:r>
            <w:r>
              <w:rPr>
                <w:rFonts w:hint="eastAsia"/>
                <w:color w:val="auto"/>
                <w:highlight w:val="none"/>
                <w:lang w:val="en-US"/>
              </w:rPr>
              <w:t>05A</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CE505A</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富士施乐M228B/M228DB/P268D墨粉</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CT202331</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夏普 黑色墨粉</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MX-238CT</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富士施乐碳粉2056</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CT201795</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兄弟 TN-3435黑色 适用8535/8530/8540/5595/5590/5585</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TN-3435黑色</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富士施乐碳粉V2263（五代）</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CT202497蓝</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lang w:val="en-US"/>
              </w:rPr>
            </w:pPr>
            <w:r>
              <w:rPr>
                <w:rFonts w:hint="eastAsia"/>
                <w:color w:val="auto"/>
                <w:highlight w:val="none"/>
              </w:rPr>
              <w:t>惠普</w:t>
            </w:r>
            <w:r>
              <w:rPr>
                <w:rFonts w:hint="eastAsia"/>
                <w:color w:val="auto"/>
                <w:highlight w:val="none"/>
                <w:lang w:val="en-US"/>
              </w:rPr>
              <w:t xml:space="preserve">（HP） CE278A 78A </w:t>
            </w:r>
            <w:r>
              <w:rPr>
                <w:rFonts w:hint="eastAsia"/>
                <w:color w:val="auto"/>
                <w:highlight w:val="none"/>
              </w:rPr>
              <w:t>硒鼓</w:t>
            </w:r>
            <w:r>
              <w:rPr>
                <w:rFonts w:hint="eastAsia"/>
                <w:color w:val="auto"/>
                <w:highlight w:val="none"/>
                <w:lang w:val="en-US"/>
              </w:rPr>
              <w:t xml:space="preserve"> </w:t>
            </w:r>
            <w:r>
              <w:rPr>
                <w:rFonts w:hint="eastAsia"/>
                <w:color w:val="auto"/>
                <w:highlight w:val="none"/>
              </w:rPr>
              <w:t>适用于</w:t>
            </w:r>
            <w:r>
              <w:rPr>
                <w:rFonts w:hint="eastAsia"/>
                <w:color w:val="auto"/>
                <w:highlight w:val="none"/>
                <w:lang w:val="en-US"/>
              </w:rPr>
              <w:t>HP P1566/P1606dn</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CE278A 78A黑</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惠普 HP 黑色硒鼓 88A单支装</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CC388A</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惠普硒鼓青色</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CE311A</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惠普硒鼓 黄色</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CE312A</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兄弟硒鼓 黑色</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DR-2350</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兄弟（Brother) 粉盒</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TN-2325</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富士施乐 CT351056 BK 硒鼓（适用于施乐M228z/M268dw/M268z/P228db/P268b/P268d/P268dw ）</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CT351056</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佳能硒鼓 黑色</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CRG-912</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富士施乐碳粉 V2260/2263</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CT202499黄</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富士施乐碳粉V2263（五代）</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CT202498红</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得实 色带架</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80D-3</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558"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爱普生墨水原装-黑色</w:t>
            </w:r>
            <w:r>
              <w:rPr>
                <w:rFonts w:hint="eastAsia"/>
                <w:color w:val="auto"/>
                <w:highlight w:val="none"/>
              </w:rPr>
              <w:br w:type="textWrapping"/>
            </w:r>
            <w:r>
              <w:rPr>
                <w:rFonts w:hint="eastAsia"/>
                <w:color w:val="auto"/>
                <w:highlight w:val="none"/>
              </w:rPr>
              <w:t>适用L1118/L1119/L3106/L3108/L3109/L3115/L3116/L3117/L3118/L3119/L3151/L3153/L3156/L3158/L3161/L3163/L3166/L3167/L3168/L3169/L5198</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TU001-004</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94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爱普生墨水原装-蓝色</w:t>
            </w:r>
            <w:r>
              <w:rPr>
                <w:rFonts w:hint="eastAsia"/>
                <w:color w:val="auto"/>
                <w:highlight w:val="none"/>
              </w:rPr>
              <w:br w:type="textWrapping"/>
            </w:r>
            <w:r>
              <w:rPr>
                <w:rFonts w:hint="eastAsia"/>
                <w:color w:val="auto"/>
                <w:highlight w:val="none"/>
              </w:rPr>
              <w:t>适用L1118/L1119/L3106/L3108/L3109/L3115/L3116/L3117/L3118/L3119/L3151/L3153/L3156/L3158/L3161/L3163/L3166/L3167/L3168/L3169/L5198</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TU002-004</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94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爱普生墨水原装-红色</w:t>
            </w:r>
            <w:r>
              <w:rPr>
                <w:rFonts w:hint="eastAsia"/>
                <w:color w:val="auto"/>
                <w:highlight w:val="none"/>
              </w:rPr>
              <w:br w:type="textWrapping"/>
            </w:r>
            <w:r>
              <w:rPr>
                <w:rFonts w:hint="eastAsia"/>
                <w:color w:val="auto"/>
                <w:highlight w:val="none"/>
              </w:rPr>
              <w:t>适用L1118/L1119/L3106/L3108/L3109/L3115/L3116/L3117/L3118/L3119/L3151/L3153/L3156/L3158/L3161/L3163/L3166/L3167/L3168/L3169/L5198</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TU003-004</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94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爱普生墨水原装-黄色</w:t>
            </w:r>
            <w:r>
              <w:rPr>
                <w:rFonts w:hint="eastAsia"/>
                <w:color w:val="auto"/>
                <w:highlight w:val="none"/>
              </w:rPr>
              <w:br w:type="textWrapping"/>
            </w:r>
            <w:r>
              <w:rPr>
                <w:rFonts w:hint="eastAsia"/>
                <w:color w:val="auto"/>
                <w:highlight w:val="none"/>
              </w:rPr>
              <w:t>适用L1118/L1119/L3106/L3108/L3109/L3115/L3116/L3117/L3118/L3119/L3151/L3153/L3156/L3158/L3161/L3163/L3166/L3167/L3168/L3169/L5198</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TU004-004</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爱普生墨水L313/L101</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黑色T6721</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兄弟硒鼓</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DR-3450</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惠普硒鼓 品红色</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CE313A</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惠普 硒鼓 黑色</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CE310A</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京瓷墨粉盒</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TK-7118</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富士施乐碳粉(标容）</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CP228W（CT202263）黄</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富士施乐碳粉(标容）</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CP228W(CT202261)蓝</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富士施乐碳粉(标容）</w:t>
            </w:r>
          </w:p>
        </w:tc>
        <w:tc>
          <w:tcPr>
            <w:tcW w:w="1843" w:type="dxa"/>
            <w:tcBorders>
              <w:top w:val="nil"/>
              <w:left w:val="nil"/>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CP228W（CT202262）红</w:t>
            </w:r>
          </w:p>
        </w:tc>
        <w:tc>
          <w:tcPr>
            <w:tcW w:w="567" w:type="dxa"/>
            <w:vMerge w:val="continue"/>
            <w:tcBorders>
              <w:top w:val="single" w:color="auto" w:sz="4" w:space="0"/>
              <w:left w:val="nil"/>
              <w:bottom w:val="nil"/>
              <w:right w:val="single" w:color="auto" w:sz="4" w:space="0"/>
            </w:tcBorders>
            <w:vAlign w:val="center"/>
          </w:tcPr>
          <w:p>
            <w:pPr>
              <w:widowControl/>
              <w:spacing w:line="360" w:lineRule="auto"/>
              <w:rPr>
                <w:rFonts w:hint="eastAsia"/>
                <w:bCs/>
                <w:color w:val="auto"/>
                <w:highlight w:val="none"/>
              </w:rPr>
            </w:pPr>
          </w:p>
        </w:tc>
      </w:tr>
      <w:tr>
        <w:tblPrEx>
          <w:tblCellMar>
            <w:top w:w="0" w:type="dxa"/>
            <w:left w:w="108" w:type="dxa"/>
            <w:bottom w:w="0" w:type="dxa"/>
            <w:right w:w="108" w:type="dxa"/>
          </w:tblCellMar>
        </w:tblPrEx>
        <w:trPr>
          <w:trHeight w:val="255"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360" w:lineRule="auto"/>
              <w:ind w:left="0" w:firstLine="0"/>
              <w:jc w:val="center"/>
              <w:rPr>
                <w:rFonts w:hint="eastAsia"/>
                <w:color w:val="auto"/>
                <w:highlight w:val="none"/>
              </w:rPr>
            </w:pPr>
          </w:p>
        </w:tc>
        <w:tc>
          <w:tcPr>
            <w:tcW w:w="53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惠普 原装双包硒鼓 双支装</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color w:val="auto"/>
                <w:highlight w:val="none"/>
              </w:rPr>
            </w:pPr>
            <w:r>
              <w:rPr>
                <w:rFonts w:hint="eastAsia"/>
                <w:color w:val="auto"/>
                <w:highlight w:val="none"/>
              </w:rPr>
              <w:t>CE278AF黑</w:t>
            </w:r>
          </w:p>
        </w:tc>
        <w:tc>
          <w:tcPr>
            <w:tcW w:w="567" w:type="dxa"/>
            <w:vMerge w:val="continue"/>
            <w:tcBorders>
              <w:top w:val="single" w:color="auto" w:sz="4" w:space="0"/>
              <w:left w:val="nil"/>
              <w:bottom w:val="single" w:color="auto" w:sz="4" w:space="0"/>
              <w:right w:val="single" w:color="auto" w:sz="4" w:space="0"/>
            </w:tcBorders>
            <w:vAlign w:val="center"/>
          </w:tcPr>
          <w:p>
            <w:pPr>
              <w:widowControl/>
              <w:spacing w:line="360" w:lineRule="auto"/>
              <w:rPr>
                <w:rFonts w:hint="eastAsia"/>
                <w:bCs/>
                <w:color w:val="auto"/>
                <w:highlight w:val="none"/>
              </w:rPr>
            </w:pPr>
          </w:p>
        </w:tc>
      </w:tr>
    </w:tbl>
    <w:p>
      <w:pPr>
        <w:spacing w:line="360" w:lineRule="auto"/>
        <w:ind w:firstLine="440" w:firstLineChars="200"/>
        <w:rPr>
          <w:rFonts w:hint="eastAsia"/>
          <w:color w:val="auto"/>
          <w:highlight w:val="none"/>
        </w:rPr>
      </w:pPr>
      <w:r>
        <w:rPr>
          <w:rFonts w:hint="eastAsia"/>
          <w:color w:val="auto"/>
          <w:highlight w:val="none"/>
        </w:rPr>
        <w:t>（4）全院用纸使用明细表（不包含复印纸）：</w:t>
      </w:r>
    </w:p>
    <w:tbl>
      <w:tblPr>
        <w:tblStyle w:val="30"/>
        <w:tblW w:w="7953" w:type="dxa"/>
        <w:tblInd w:w="93" w:type="dxa"/>
        <w:tblLayout w:type="autofit"/>
        <w:tblCellMar>
          <w:top w:w="0" w:type="dxa"/>
          <w:left w:w="108" w:type="dxa"/>
          <w:bottom w:w="0" w:type="dxa"/>
          <w:right w:w="108" w:type="dxa"/>
        </w:tblCellMar>
      </w:tblPr>
      <w:tblGrid>
        <w:gridCol w:w="780"/>
        <w:gridCol w:w="2140"/>
        <w:gridCol w:w="3049"/>
        <w:gridCol w:w="992"/>
        <w:gridCol w:w="992"/>
      </w:tblGrid>
      <w:tr>
        <w:tblPrEx>
          <w:tblCellMar>
            <w:top w:w="0" w:type="dxa"/>
            <w:left w:w="108" w:type="dxa"/>
            <w:bottom w:w="0" w:type="dxa"/>
            <w:right w:w="108" w:type="dxa"/>
          </w:tblCellMar>
        </w:tblPrEx>
        <w:trPr>
          <w:trHeight w:val="402" w:hRule="atLeast"/>
        </w:trPr>
        <w:tc>
          <w:tcPr>
            <w:tcW w:w="78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b/>
                <w:bCs/>
                <w:color w:val="auto"/>
                <w:highlight w:val="none"/>
              </w:rPr>
            </w:pPr>
            <w:r>
              <w:rPr>
                <w:rFonts w:hint="eastAsia"/>
                <w:b/>
                <w:bCs/>
                <w:color w:val="auto"/>
                <w:highlight w:val="none"/>
              </w:rPr>
              <w:t>序号</w:t>
            </w:r>
          </w:p>
        </w:tc>
        <w:tc>
          <w:tcPr>
            <w:tcW w:w="214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b/>
                <w:bCs/>
                <w:color w:val="auto"/>
                <w:highlight w:val="none"/>
              </w:rPr>
            </w:pPr>
            <w:r>
              <w:rPr>
                <w:rFonts w:hint="eastAsia"/>
                <w:b/>
                <w:bCs/>
                <w:color w:val="auto"/>
                <w:highlight w:val="none"/>
              </w:rPr>
              <w:t>产品名称</w:t>
            </w:r>
          </w:p>
        </w:tc>
        <w:tc>
          <w:tcPr>
            <w:tcW w:w="3049"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b/>
                <w:bCs/>
                <w:color w:val="auto"/>
                <w:highlight w:val="none"/>
              </w:rPr>
            </w:pPr>
            <w:r>
              <w:rPr>
                <w:rFonts w:hint="eastAsia"/>
                <w:b/>
                <w:bCs/>
                <w:color w:val="auto"/>
                <w:highlight w:val="none"/>
              </w:rPr>
              <w:t>规格型号</w:t>
            </w:r>
          </w:p>
        </w:tc>
        <w:tc>
          <w:tcPr>
            <w:tcW w:w="99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b/>
                <w:bCs/>
                <w:color w:val="auto"/>
                <w:highlight w:val="none"/>
              </w:rPr>
            </w:pPr>
            <w:r>
              <w:rPr>
                <w:rFonts w:hint="eastAsia"/>
                <w:b/>
                <w:bCs/>
                <w:color w:val="auto"/>
                <w:highlight w:val="none"/>
              </w:rPr>
              <w:t>单位</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hint="eastAsia"/>
                <w:b/>
                <w:bCs/>
                <w:color w:val="auto"/>
                <w:highlight w:val="none"/>
              </w:rPr>
            </w:pPr>
            <w:r>
              <w:rPr>
                <w:rFonts w:hint="eastAsia"/>
                <w:b/>
                <w:bCs/>
                <w:color w:val="auto"/>
                <w:highlight w:val="none"/>
              </w:rPr>
              <w:t>根据医院实际使用情况定</w:t>
            </w:r>
          </w:p>
        </w:tc>
      </w:tr>
      <w:tr>
        <w:trPr>
          <w:trHeight w:val="402"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1</w:t>
            </w:r>
          </w:p>
        </w:tc>
        <w:tc>
          <w:tcPr>
            <w:tcW w:w="2140"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打印纸</w:t>
            </w:r>
          </w:p>
        </w:tc>
        <w:tc>
          <w:tcPr>
            <w:tcW w:w="3049" w:type="dxa"/>
            <w:tcBorders>
              <w:top w:val="nil"/>
              <w:left w:val="nil"/>
              <w:bottom w:val="single" w:color="auto" w:sz="4" w:space="0"/>
              <w:right w:val="single" w:color="auto" w:sz="4" w:space="0"/>
            </w:tcBorders>
            <w:noWrap/>
            <w:vAlign w:val="center"/>
          </w:tcPr>
          <w:p>
            <w:pPr>
              <w:widowControl/>
              <w:spacing w:line="360" w:lineRule="auto"/>
              <w:rPr>
                <w:rFonts w:hint="eastAsia"/>
                <w:color w:val="auto"/>
                <w:highlight w:val="none"/>
              </w:rPr>
            </w:pPr>
            <w:r>
              <w:rPr>
                <w:rFonts w:hint="eastAsia"/>
                <w:color w:val="auto"/>
                <w:highlight w:val="none"/>
              </w:rPr>
              <w:t>单层(1/3)1000页/盒</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盒</w:t>
            </w: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hint="eastAsia"/>
                <w:b/>
                <w:bCs/>
                <w:color w:val="auto"/>
                <w:highlight w:val="none"/>
              </w:rPr>
            </w:pPr>
          </w:p>
        </w:tc>
      </w:tr>
      <w:tr>
        <w:tblPrEx>
          <w:tblCellMar>
            <w:top w:w="0" w:type="dxa"/>
            <w:left w:w="108" w:type="dxa"/>
            <w:bottom w:w="0" w:type="dxa"/>
            <w:right w:w="108" w:type="dxa"/>
          </w:tblCellMar>
        </w:tblPrEx>
        <w:trPr>
          <w:trHeight w:val="402"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2</w:t>
            </w:r>
          </w:p>
        </w:tc>
        <w:tc>
          <w:tcPr>
            <w:tcW w:w="2140"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打印纸</w:t>
            </w:r>
          </w:p>
        </w:tc>
        <w:tc>
          <w:tcPr>
            <w:tcW w:w="3049" w:type="dxa"/>
            <w:tcBorders>
              <w:top w:val="nil"/>
              <w:left w:val="nil"/>
              <w:bottom w:val="single" w:color="auto" w:sz="4" w:space="0"/>
              <w:right w:val="single" w:color="auto" w:sz="4" w:space="0"/>
            </w:tcBorders>
            <w:noWrap/>
            <w:vAlign w:val="center"/>
          </w:tcPr>
          <w:p>
            <w:pPr>
              <w:widowControl/>
              <w:spacing w:line="360" w:lineRule="auto"/>
              <w:rPr>
                <w:rFonts w:hint="eastAsia"/>
                <w:color w:val="auto"/>
                <w:highlight w:val="none"/>
              </w:rPr>
            </w:pPr>
            <w:r>
              <w:rPr>
                <w:rFonts w:hint="eastAsia"/>
                <w:color w:val="auto"/>
                <w:highlight w:val="none"/>
              </w:rPr>
              <w:t>单层(1/2)1000页/盒</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盒</w:t>
            </w: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hint="eastAsia"/>
                <w:b/>
                <w:bCs/>
                <w:color w:val="auto"/>
                <w:highlight w:val="none"/>
              </w:rPr>
            </w:pPr>
          </w:p>
        </w:tc>
      </w:tr>
      <w:tr>
        <w:tblPrEx>
          <w:tblCellMar>
            <w:top w:w="0" w:type="dxa"/>
            <w:left w:w="108" w:type="dxa"/>
            <w:bottom w:w="0" w:type="dxa"/>
            <w:right w:w="108" w:type="dxa"/>
          </w:tblCellMar>
        </w:tblPrEx>
        <w:trPr>
          <w:trHeight w:val="402"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3</w:t>
            </w:r>
          </w:p>
        </w:tc>
        <w:tc>
          <w:tcPr>
            <w:tcW w:w="2140"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打印纸</w:t>
            </w:r>
          </w:p>
        </w:tc>
        <w:tc>
          <w:tcPr>
            <w:tcW w:w="3049" w:type="dxa"/>
            <w:tcBorders>
              <w:top w:val="nil"/>
              <w:left w:val="nil"/>
              <w:bottom w:val="single" w:color="auto" w:sz="4" w:space="0"/>
              <w:right w:val="single" w:color="auto" w:sz="4" w:space="0"/>
            </w:tcBorders>
            <w:noWrap/>
            <w:vAlign w:val="center"/>
          </w:tcPr>
          <w:p>
            <w:pPr>
              <w:widowControl/>
              <w:spacing w:line="360" w:lineRule="auto"/>
              <w:rPr>
                <w:rFonts w:hint="eastAsia"/>
                <w:color w:val="auto"/>
                <w:highlight w:val="none"/>
              </w:rPr>
            </w:pPr>
            <w:r>
              <w:rPr>
                <w:rFonts w:hint="eastAsia"/>
                <w:color w:val="auto"/>
                <w:highlight w:val="none"/>
              </w:rPr>
              <w:t>单层(全张)1000页/盒</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盒</w:t>
            </w: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hint="eastAsia"/>
                <w:b/>
                <w:bCs/>
                <w:color w:val="auto"/>
                <w:highlight w:val="none"/>
              </w:rPr>
            </w:pPr>
          </w:p>
        </w:tc>
      </w:tr>
      <w:tr>
        <w:trPr>
          <w:trHeight w:val="402"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4</w:t>
            </w:r>
          </w:p>
        </w:tc>
        <w:tc>
          <w:tcPr>
            <w:tcW w:w="2140"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打印纸</w:t>
            </w:r>
          </w:p>
        </w:tc>
        <w:tc>
          <w:tcPr>
            <w:tcW w:w="3049" w:type="dxa"/>
            <w:tcBorders>
              <w:top w:val="nil"/>
              <w:left w:val="nil"/>
              <w:bottom w:val="single" w:color="auto" w:sz="4" w:space="0"/>
              <w:right w:val="single" w:color="auto" w:sz="4" w:space="0"/>
            </w:tcBorders>
            <w:noWrap/>
            <w:vAlign w:val="center"/>
          </w:tcPr>
          <w:p>
            <w:pPr>
              <w:widowControl/>
              <w:spacing w:line="360" w:lineRule="auto"/>
              <w:rPr>
                <w:rFonts w:hint="eastAsia"/>
                <w:color w:val="auto"/>
                <w:highlight w:val="none"/>
              </w:rPr>
            </w:pPr>
            <w:r>
              <w:rPr>
                <w:rFonts w:hint="eastAsia"/>
                <w:color w:val="auto"/>
                <w:highlight w:val="none"/>
              </w:rPr>
              <w:t>二联(1/3)1000页</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盒</w:t>
            </w: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hint="eastAsia"/>
                <w:b/>
                <w:bCs/>
                <w:color w:val="auto"/>
                <w:highlight w:val="none"/>
              </w:rPr>
            </w:pPr>
          </w:p>
        </w:tc>
      </w:tr>
      <w:tr>
        <w:tblPrEx>
          <w:tblCellMar>
            <w:top w:w="0" w:type="dxa"/>
            <w:left w:w="108" w:type="dxa"/>
            <w:bottom w:w="0" w:type="dxa"/>
            <w:right w:w="108" w:type="dxa"/>
          </w:tblCellMar>
        </w:tblPrEx>
        <w:trPr>
          <w:trHeight w:val="402"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5</w:t>
            </w:r>
          </w:p>
        </w:tc>
        <w:tc>
          <w:tcPr>
            <w:tcW w:w="2140"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打印纸</w:t>
            </w:r>
          </w:p>
        </w:tc>
        <w:tc>
          <w:tcPr>
            <w:tcW w:w="3049" w:type="dxa"/>
            <w:tcBorders>
              <w:top w:val="nil"/>
              <w:left w:val="nil"/>
              <w:bottom w:val="single" w:color="auto" w:sz="4" w:space="0"/>
              <w:right w:val="single" w:color="auto" w:sz="4" w:space="0"/>
            </w:tcBorders>
            <w:noWrap/>
            <w:vAlign w:val="center"/>
          </w:tcPr>
          <w:p>
            <w:pPr>
              <w:widowControl/>
              <w:spacing w:line="360" w:lineRule="auto"/>
              <w:rPr>
                <w:rFonts w:hint="eastAsia"/>
                <w:color w:val="auto"/>
                <w:highlight w:val="none"/>
              </w:rPr>
            </w:pPr>
            <w:r>
              <w:rPr>
                <w:rFonts w:hint="eastAsia"/>
                <w:color w:val="auto"/>
                <w:highlight w:val="none"/>
              </w:rPr>
              <w:t>二联(全张)1000页/盒</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盒</w:t>
            </w: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hint="eastAsia"/>
                <w:b/>
                <w:bCs/>
                <w:color w:val="auto"/>
                <w:highlight w:val="none"/>
              </w:rPr>
            </w:pPr>
          </w:p>
        </w:tc>
      </w:tr>
      <w:tr>
        <w:tblPrEx>
          <w:tblCellMar>
            <w:top w:w="0" w:type="dxa"/>
            <w:left w:w="108" w:type="dxa"/>
            <w:bottom w:w="0" w:type="dxa"/>
            <w:right w:w="108" w:type="dxa"/>
          </w:tblCellMar>
        </w:tblPrEx>
        <w:trPr>
          <w:trHeight w:val="402"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6</w:t>
            </w:r>
          </w:p>
        </w:tc>
        <w:tc>
          <w:tcPr>
            <w:tcW w:w="2140"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打印纸</w:t>
            </w:r>
          </w:p>
        </w:tc>
        <w:tc>
          <w:tcPr>
            <w:tcW w:w="3049" w:type="dxa"/>
            <w:tcBorders>
              <w:top w:val="nil"/>
              <w:left w:val="nil"/>
              <w:bottom w:val="single" w:color="auto" w:sz="4" w:space="0"/>
              <w:right w:val="single" w:color="auto" w:sz="4" w:space="0"/>
            </w:tcBorders>
            <w:noWrap/>
            <w:vAlign w:val="center"/>
          </w:tcPr>
          <w:p>
            <w:pPr>
              <w:widowControl/>
              <w:spacing w:line="360" w:lineRule="auto"/>
              <w:rPr>
                <w:rFonts w:hint="eastAsia"/>
                <w:color w:val="auto"/>
                <w:highlight w:val="none"/>
              </w:rPr>
            </w:pPr>
            <w:r>
              <w:rPr>
                <w:rFonts w:hint="eastAsia"/>
                <w:color w:val="auto"/>
                <w:highlight w:val="none"/>
              </w:rPr>
              <w:t>1/3三联1000页</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盒</w:t>
            </w: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hint="eastAsia"/>
                <w:b/>
                <w:bCs/>
                <w:color w:val="auto"/>
                <w:highlight w:val="none"/>
              </w:rPr>
            </w:pPr>
          </w:p>
        </w:tc>
      </w:tr>
      <w:tr>
        <w:tblPrEx>
          <w:tblCellMar>
            <w:top w:w="0" w:type="dxa"/>
            <w:left w:w="108" w:type="dxa"/>
            <w:bottom w:w="0" w:type="dxa"/>
            <w:right w:w="108" w:type="dxa"/>
          </w:tblCellMar>
        </w:tblPrEx>
        <w:trPr>
          <w:trHeight w:val="402"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7</w:t>
            </w:r>
          </w:p>
        </w:tc>
        <w:tc>
          <w:tcPr>
            <w:tcW w:w="2140"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打印纸</w:t>
            </w:r>
          </w:p>
        </w:tc>
        <w:tc>
          <w:tcPr>
            <w:tcW w:w="3049" w:type="dxa"/>
            <w:tcBorders>
              <w:top w:val="nil"/>
              <w:left w:val="nil"/>
              <w:bottom w:val="single" w:color="auto" w:sz="4" w:space="0"/>
              <w:right w:val="single" w:color="auto" w:sz="4" w:space="0"/>
            </w:tcBorders>
            <w:noWrap/>
            <w:vAlign w:val="center"/>
          </w:tcPr>
          <w:p>
            <w:pPr>
              <w:widowControl/>
              <w:spacing w:line="360" w:lineRule="auto"/>
              <w:rPr>
                <w:rFonts w:hint="eastAsia"/>
                <w:color w:val="auto"/>
                <w:highlight w:val="none"/>
              </w:rPr>
            </w:pPr>
            <w:r>
              <w:rPr>
                <w:rFonts w:hint="eastAsia"/>
                <w:color w:val="auto"/>
                <w:highlight w:val="none"/>
              </w:rPr>
              <w:t>三联(全张)1000页/盒</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盒</w:t>
            </w: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hint="eastAsia"/>
                <w:b/>
                <w:bCs/>
                <w:color w:val="auto"/>
                <w:highlight w:val="none"/>
              </w:rPr>
            </w:pPr>
          </w:p>
        </w:tc>
      </w:tr>
      <w:tr>
        <w:tblPrEx>
          <w:tblCellMar>
            <w:top w:w="0" w:type="dxa"/>
            <w:left w:w="108" w:type="dxa"/>
            <w:bottom w:w="0" w:type="dxa"/>
            <w:right w:w="108" w:type="dxa"/>
          </w:tblCellMar>
        </w:tblPrEx>
        <w:trPr>
          <w:trHeight w:val="402"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8</w:t>
            </w:r>
          </w:p>
        </w:tc>
        <w:tc>
          <w:tcPr>
            <w:tcW w:w="2140"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热敏打印纸</w:t>
            </w:r>
          </w:p>
        </w:tc>
        <w:tc>
          <w:tcPr>
            <w:tcW w:w="3049" w:type="dxa"/>
            <w:tcBorders>
              <w:top w:val="nil"/>
              <w:left w:val="nil"/>
              <w:bottom w:val="single" w:color="auto" w:sz="4" w:space="0"/>
              <w:right w:val="single" w:color="auto" w:sz="4" w:space="0"/>
            </w:tcBorders>
            <w:noWrap/>
            <w:vAlign w:val="center"/>
          </w:tcPr>
          <w:p>
            <w:pPr>
              <w:widowControl/>
              <w:spacing w:line="360" w:lineRule="auto"/>
              <w:rPr>
                <w:rFonts w:hint="eastAsia"/>
                <w:color w:val="auto"/>
                <w:highlight w:val="none"/>
              </w:rPr>
            </w:pPr>
            <w:r>
              <w:rPr>
                <w:rFonts w:hint="eastAsia"/>
                <w:color w:val="auto"/>
                <w:highlight w:val="none"/>
              </w:rPr>
              <w:t>80*80mm(Core:1/2")</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卷</w:t>
            </w: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hint="eastAsia"/>
                <w:b/>
                <w:bCs/>
                <w:color w:val="auto"/>
                <w:highlight w:val="none"/>
              </w:rPr>
            </w:pPr>
          </w:p>
        </w:tc>
      </w:tr>
      <w:tr>
        <w:tblPrEx>
          <w:tblCellMar>
            <w:top w:w="0" w:type="dxa"/>
            <w:left w:w="108" w:type="dxa"/>
            <w:bottom w:w="0" w:type="dxa"/>
            <w:right w:w="108" w:type="dxa"/>
          </w:tblCellMar>
        </w:tblPrEx>
        <w:trPr>
          <w:trHeight w:val="402"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9</w:t>
            </w:r>
          </w:p>
        </w:tc>
        <w:tc>
          <w:tcPr>
            <w:tcW w:w="2140"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热敏打印纸</w:t>
            </w:r>
          </w:p>
        </w:tc>
        <w:tc>
          <w:tcPr>
            <w:tcW w:w="3049" w:type="dxa"/>
            <w:tcBorders>
              <w:top w:val="nil"/>
              <w:left w:val="nil"/>
              <w:bottom w:val="single" w:color="auto" w:sz="4" w:space="0"/>
              <w:right w:val="single" w:color="auto" w:sz="4" w:space="0"/>
            </w:tcBorders>
            <w:noWrap/>
            <w:vAlign w:val="center"/>
          </w:tcPr>
          <w:p>
            <w:pPr>
              <w:widowControl/>
              <w:spacing w:line="360" w:lineRule="auto"/>
              <w:rPr>
                <w:rFonts w:hint="eastAsia"/>
                <w:color w:val="auto"/>
                <w:highlight w:val="none"/>
              </w:rPr>
            </w:pPr>
            <w:r>
              <w:rPr>
                <w:rFonts w:hint="eastAsia"/>
                <w:color w:val="auto"/>
                <w:highlight w:val="none"/>
              </w:rPr>
              <w:t>100卷/件</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卷</w:t>
            </w: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hint="eastAsia"/>
                <w:b/>
                <w:bCs/>
                <w:color w:val="auto"/>
                <w:highlight w:val="none"/>
              </w:rPr>
            </w:pPr>
          </w:p>
        </w:tc>
      </w:tr>
      <w:tr>
        <w:trPr>
          <w:trHeight w:val="402"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10</w:t>
            </w:r>
          </w:p>
        </w:tc>
        <w:tc>
          <w:tcPr>
            <w:tcW w:w="2140"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条码打印纸(热敏)</w:t>
            </w:r>
          </w:p>
        </w:tc>
        <w:tc>
          <w:tcPr>
            <w:tcW w:w="3049" w:type="dxa"/>
            <w:tcBorders>
              <w:top w:val="nil"/>
              <w:left w:val="nil"/>
              <w:bottom w:val="single" w:color="auto" w:sz="4" w:space="0"/>
              <w:right w:val="single" w:color="auto" w:sz="4" w:space="0"/>
            </w:tcBorders>
            <w:noWrap/>
            <w:vAlign w:val="center"/>
          </w:tcPr>
          <w:p>
            <w:pPr>
              <w:widowControl/>
              <w:spacing w:line="360" w:lineRule="auto"/>
              <w:rPr>
                <w:rFonts w:hint="eastAsia"/>
                <w:color w:val="auto"/>
                <w:highlight w:val="none"/>
              </w:rPr>
            </w:pPr>
            <w:r>
              <w:rPr>
                <w:rFonts w:hint="eastAsia"/>
                <w:color w:val="auto"/>
                <w:highlight w:val="none"/>
              </w:rPr>
              <w:t>50*40*6000</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卷</w:t>
            </w: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hint="eastAsia"/>
                <w:b/>
                <w:bCs/>
                <w:color w:val="auto"/>
                <w:highlight w:val="none"/>
              </w:rPr>
            </w:pPr>
          </w:p>
        </w:tc>
      </w:tr>
      <w:tr>
        <w:tblPrEx>
          <w:tblCellMar>
            <w:top w:w="0" w:type="dxa"/>
            <w:left w:w="108" w:type="dxa"/>
            <w:bottom w:w="0" w:type="dxa"/>
            <w:right w:w="108" w:type="dxa"/>
          </w:tblCellMar>
        </w:tblPrEx>
        <w:trPr>
          <w:trHeight w:val="402"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11</w:t>
            </w:r>
          </w:p>
        </w:tc>
        <w:tc>
          <w:tcPr>
            <w:tcW w:w="2140"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条码打印纸(热敏)</w:t>
            </w:r>
          </w:p>
        </w:tc>
        <w:tc>
          <w:tcPr>
            <w:tcW w:w="3049" w:type="dxa"/>
            <w:tcBorders>
              <w:top w:val="nil"/>
              <w:left w:val="nil"/>
              <w:bottom w:val="single" w:color="auto" w:sz="4" w:space="0"/>
              <w:right w:val="single" w:color="auto" w:sz="4" w:space="0"/>
            </w:tcBorders>
            <w:noWrap/>
            <w:vAlign w:val="center"/>
          </w:tcPr>
          <w:p>
            <w:pPr>
              <w:widowControl/>
              <w:spacing w:line="360" w:lineRule="auto"/>
              <w:rPr>
                <w:rFonts w:hint="eastAsia"/>
                <w:color w:val="auto"/>
                <w:highlight w:val="none"/>
              </w:rPr>
            </w:pPr>
            <w:r>
              <w:rPr>
                <w:rFonts w:hint="eastAsia"/>
                <w:color w:val="auto"/>
                <w:highlight w:val="none"/>
              </w:rPr>
              <w:t>90*60*3000</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color w:val="auto"/>
                <w:highlight w:val="none"/>
              </w:rPr>
            </w:pPr>
            <w:r>
              <w:rPr>
                <w:rFonts w:hint="eastAsia"/>
                <w:color w:val="auto"/>
                <w:highlight w:val="none"/>
              </w:rPr>
              <w:t>卷</w:t>
            </w: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hint="eastAsia"/>
                <w:b/>
                <w:bCs/>
                <w:color w:val="auto"/>
                <w:highlight w:val="none"/>
              </w:rPr>
            </w:pPr>
          </w:p>
        </w:tc>
      </w:tr>
    </w:tbl>
    <w:p>
      <w:pPr>
        <w:spacing w:line="360" w:lineRule="auto"/>
        <w:ind w:firstLine="440" w:firstLineChars="200"/>
        <w:rPr>
          <w:rFonts w:hint="eastAsia"/>
          <w:color w:val="auto"/>
          <w:highlight w:val="none"/>
        </w:rPr>
      </w:pPr>
      <w:r>
        <w:rPr>
          <w:rFonts w:hint="eastAsia"/>
          <w:color w:val="auto"/>
          <w:highlight w:val="none"/>
        </w:rPr>
        <w:t>2.本项目成交人必须提供2名或以上精通软硬件的维保技术人员驻场，驻场时间为全年365天，提供每周7*24小时不间断服务，驻场技术人员白天工作时间为8：00-17：</w:t>
      </w:r>
      <w:r>
        <w:rPr>
          <w:rFonts w:hint="eastAsia"/>
          <w:color w:val="auto"/>
          <w:highlight w:val="none"/>
          <w:lang w:val="en-US" w:eastAsia="zh-CN"/>
        </w:rPr>
        <w:t>3</w:t>
      </w:r>
      <w:r>
        <w:rPr>
          <w:rFonts w:hint="eastAsia"/>
          <w:color w:val="auto"/>
          <w:highlight w:val="none"/>
        </w:rPr>
        <w:t>0，在采购人单位提供现场服务，其他时间根据采购人要求安排现场或电话值班，随时接受医院合理的加班要求。</w:t>
      </w:r>
    </w:p>
    <w:p>
      <w:pPr>
        <w:spacing w:line="360" w:lineRule="auto"/>
        <w:ind w:firstLine="440" w:firstLineChars="200"/>
        <w:rPr>
          <w:rFonts w:hint="eastAsia"/>
          <w:color w:val="auto"/>
          <w:highlight w:val="none"/>
        </w:rPr>
      </w:pPr>
      <w:r>
        <w:rPr>
          <w:rFonts w:hint="eastAsia"/>
          <w:color w:val="auto"/>
          <w:highlight w:val="none"/>
        </w:rPr>
        <w:t>驻场人员</w:t>
      </w:r>
      <w:r>
        <w:rPr>
          <w:rFonts w:hint="eastAsia"/>
          <w:color w:val="auto"/>
          <w:highlight w:val="none"/>
          <w:lang w:val="en-US"/>
        </w:rPr>
        <w:t>要</w:t>
      </w:r>
      <w:r>
        <w:rPr>
          <w:rFonts w:hint="eastAsia"/>
          <w:color w:val="auto"/>
          <w:highlight w:val="none"/>
        </w:rPr>
        <w:t>严格遵守医院制度，坚守岗位，随时留意设备有无异常情况，若发现异常情况或接到障碍申告，</w:t>
      </w:r>
      <w:r>
        <w:rPr>
          <w:rFonts w:hint="eastAsia"/>
          <w:color w:val="auto"/>
          <w:highlight w:val="none"/>
          <w:lang w:val="en-US"/>
        </w:rPr>
        <w:t>需</w:t>
      </w:r>
      <w:r>
        <w:rPr>
          <w:rFonts w:hint="eastAsia"/>
          <w:color w:val="auto"/>
          <w:highlight w:val="none"/>
        </w:rPr>
        <w:t>马上前往处理，如属于重大故障，立即按照重大故障流程上报</w:t>
      </w:r>
      <w:r>
        <w:rPr>
          <w:rFonts w:hint="eastAsia"/>
          <w:color w:val="auto"/>
          <w:highlight w:val="none"/>
          <w:lang w:val="en-US"/>
        </w:rPr>
        <w:t>采购人</w:t>
      </w:r>
      <w:r>
        <w:rPr>
          <w:rFonts w:hint="eastAsia"/>
          <w:color w:val="auto"/>
          <w:highlight w:val="none"/>
        </w:rPr>
        <w:t>及</w:t>
      </w:r>
      <w:r>
        <w:rPr>
          <w:rFonts w:hint="eastAsia"/>
          <w:color w:val="auto"/>
          <w:highlight w:val="none"/>
          <w:lang w:val="en-US"/>
        </w:rPr>
        <w:t>成交人</w:t>
      </w:r>
      <w:r>
        <w:rPr>
          <w:rFonts w:hint="eastAsia"/>
          <w:color w:val="auto"/>
          <w:highlight w:val="none"/>
        </w:rPr>
        <w:t>，随后立即启动应急服务响应。</w:t>
      </w:r>
      <w:r>
        <w:rPr>
          <w:rFonts w:hint="eastAsia"/>
          <w:color w:val="auto"/>
          <w:highlight w:val="none"/>
          <w:lang w:val="en-US"/>
        </w:rPr>
        <w:t>驻场</w:t>
      </w:r>
      <w:r>
        <w:rPr>
          <w:rFonts w:hint="eastAsia"/>
          <w:color w:val="auto"/>
          <w:highlight w:val="none"/>
        </w:rPr>
        <w:t>人员</w:t>
      </w:r>
      <w:r>
        <w:rPr>
          <w:rFonts w:hint="eastAsia"/>
          <w:color w:val="auto"/>
          <w:highlight w:val="none"/>
          <w:lang w:val="en-US"/>
        </w:rPr>
        <w:t>统一执行采购人工作</w:t>
      </w:r>
      <w:r>
        <w:rPr>
          <w:rFonts w:hint="eastAsia"/>
          <w:color w:val="auto"/>
          <w:highlight w:val="none"/>
        </w:rPr>
        <w:t>人员</w:t>
      </w:r>
      <w:r>
        <w:rPr>
          <w:rFonts w:hint="eastAsia"/>
          <w:color w:val="auto"/>
          <w:highlight w:val="none"/>
          <w:lang w:val="en-US"/>
        </w:rPr>
        <w:t>的</w:t>
      </w:r>
      <w:r>
        <w:rPr>
          <w:rFonts w:hint="eastAsia"/>
          <w:color w:val="auto"/>
          <w:highlight w:val="none"/>
        </w:rPr>
        <w:t>各项规章制度，遵守</w:t>
      </w:r>
      <w:r>
        <w:rPr>
          <w:rFonts w:hint="eastAsia"/>
          <w:color w:val="auto"/>
          <w:highlight w:val="none"/>
          <w:lang w:val="en-US"/>
        </w:rPr>
        <w:t>采购人</w:t>
      </w:r>
      <w:r>
        <w:rPr>
          <w:rFonts w:hint="eastAsia"/>
          <w:color w:val="auto"/>
          <w:highlight w:val="none"/>
        </w:rPr>
        <w:t>制定的值班规定和文明准则。</w:t>
      </w:r>
      <w:r>
        <w:rPr>
          <w:rFonts w:hint="eastAsia"/>
          <w:color w:val="auto"/>
          <w:highlight w:val="none"/>
          <w:lang w:val="en-US"/>
        </w:rPr>
        <w:t>成交人</w:t>
      </w:r>
      <w:r>
        <w:rPr>
          <w:rFonts w:hint="eastAsia"/>
          <w:color w:val="auto"/>
          <w:highlight w:val="none"/>
        </w:rPr>
        <w:t>的</w:t>
      </w:r>
      <w:r>
        <w:rPr>
          <w:rFonts w:hint="eastAsia"/>
          <w:bCs/>
          <w:color w:val="auto"/>
          <w:highlight w:val="none"/>
        </w:rPr>
        <w:t>驻场人员</w:t>
      </w:r>
      <w:r>
        <w:rPr>
          <w:rFonts w:hint="eastAsia"/>
          <w:color w:val="auto"/>
          <w:highlight w:val="none"/>
        </w:rPr>
        <w:t>在上岗前</w:t>
      </w:r>
      <w:r>
        <w:rPr>
          <w:rFonts w:hint="eastAsia"/>
          <w:color w:val="auto"/>
          <w:highlight w:val="none"/>
          <w:lang w:val="en-US"/>
        </w:rPr>
        <w:t>需</w:t>
      </w:r>
      <w:r>
        <w:rPr>
          <w:rFonts w:hint="eastAsia"/>
          <w:color w:val="auto"/>
          <w:highlight w:val="none"/>
        </w:rPr>
        <w:t>与采购人签署保密协议书，应</w:t>
      </w:r>
      <w:r>
        <w:rPr>
          <w:rFonts w:hint="eastAsia"/>
          <w:color w:val="auto"/>
          <w:highlight w:val="none"/>
          <w:lang w:val="en-US"/>
        </w:rPr>
        <w:t>严格</w:t>
      </w:r>
      <w:r>
        <w:rPr>
          <w:rFonts w:hint="eastAsia"/>
          <w:color w:val="auto"/>
          <w:highlight w:val="none"/>
        </w:rPr>
        <w:t>遵守保密要求，不得将</w:t>
      </w:r>
      <w:r>
        <w:rPr>
          <w:rFonts w:hint="eastAsia"/>
          <w:color w:val="auto"/>
          <w:highlight w:val="none"/>
          <w:lang w:val="en-US"/>
        </w:rPr>
        <w:t>采购人的</w:t>
      </w:r>
      <w:r>
        <w:rPr>
          <w:rFonts w:hint="eastAsia"/>
          <w:color w:val="auto"/>
          <w:highlight w:val="none"/>
        </w:rPr>
        <w:t>设备数据</w:t>
      </w:r>
      <w:r>
        <w:rPr>
          <w:rFonts w:hint="eastAsia"/>
          <w:color w:val="auto"/>
          <w:highlight w:val="none"/>
          <w:lang w:val="en-US"/>
        </w:rPr>
        <w:t>和相关用户资料</w:t>
      </w:r>
      <w:r>
        <w:rPr>
          <w:rFonts w:hint="eastAsia"/>
          <w:color w:val="auto"/>
          <w:highlight w:val="none"/>
        </w:rPr>
        <w:t>提供给任何第三方，</w:t>
      </w:r>
      <w:r>
        <w:rPr>
          <w:rFonts w:hint="eastAsia"/>
          <w:color w:val="auto"/>
          <w:highlight w:val="none"/>
          <w:lang w:val="en-US"/>
        </w:rPr>
        <w:t>除本项目外，</w:t>
      </w:r>
      <w:r>
        <w:rPr>
          <w:rFonts w:hint="eastAsia"/>
          <w:color w:val="auto"/>
          <w:kern w:val="2"/>
          <w:highlight w:val="none"/>
          <w:lang w:val="en-US" w:bidi="ar-SA"/>
        </w:rPr>
        <w:t>不得以其他任何方式使用本项目的有关数据</w:t>
      </w:r>
      <w:r>
        <w:rPr>
          <w:rFonts w:hint="eastAsia"/>
          <w:color w:val="auto"/>
          <w:highlight w:val="none"/>
        </w:rPr>
        <w:t>。</w:t>
      </w:r>
      <w:r>
        <w:rPr>
          <w:rFonts w:hint="eastAsia"/>
          <w:color w:val="auto"/>
          <w:highlight w:val="none"/>
          <w:lang w:val="en-US"/>
        </w:rPr>
        <w:t>成交人</w:t>
      </w:r>
      <w:r>
        <w:rPr>
          <w:rFonts w:hint="eastAsia"/>
          <w:color w:val="auto"/>
          <w:highlight w:val="none"/>
        </w:rPr>
        <w:t>一般情况不得更换项目组人员，如需更换提前5个工作日书面报告采购人，征得采购人同意情况下才能更换；如果</w:t>
      </w:r>
      <w:r>
        <w:rPr>
          <w:rFonts w:hint="eastAsia"/>
          <w:color w:val="auto"/>
          <w:highlight w:val="none"/>
          <w:lang w:val="en-US"/>
        </w:rPr>
        <w:t>成交人</w:t>
      </w:r>
      <w:r>
        <w:rPr>
          <w:rFonts w:hint="eastAsia"/>
          <w:color w:val="auto"/>
          <w:highlight w:val="none"/>
        </w:rPr>
        <w:t>项目组人员存在工作态度、责任心、技术能力、协调能力等方面之一的问题时，采购人有权要求</w:t>
      </w:r>
      <w:r>
        <w:rPr>
          <w:rFonts w:hint="eastAsia"/>
          <w:color w:val="auto"/>
          <w:highlight w:val="none"/>
          <w:lang w:val="en-US"/>
        </w:rPr>
        <w:t>成交人</w:t>
      </w:r>
      <w:r>
        <w:rPr>
          <w:rFonts w:hint="eastAsia"/>
          <w:color w:val="auto"/>
          <w:highlight w:val="none"/>
        </w:rPr>
        <w:t>更换项目组人员，并且</w:t>
      </w:r>
      <w:r>
        <w:rPr>
          <w:rFonts w:hint="eastAsia"/>
          <w:color w:val="auto"/>
          <w:highlight w:val="none"/>
          <w:lang w:val="en-US"/>
        </w:rPr>
        <w:t>成交人</w:t>
      </w:r>
      <w:r>
        <w:rPr>
          <w:rFonts w:hint="eastAsia"/>
          <w:color w:val="auto"/>
          <w:highlight w:val="none"/>
        </w:rPr>
        <w:t>在收到采购人书面通知之日起5个工作日内更换。否则，采购人有权解除合同。</w:t>
      </w:r>
    </w:p>
    <w:p>
      <w:pPr>
        <w:spacing w:line="360" w:lineRule="auto"/>
        <w:ind w:firstLine="440" w:firstLineChars="200"/>
        <w:rPr>
          <w:rFonts w:hint="eastAsia"/>
          <w:color w:val="auto"/>
          <w:highlight w:val="none"/>
        </w:rPr>
      </w:pPr>
      <w:r>
        <w:rPr>
          <w:rFonts w:hint="eastAsia"/>
          <w:color w:val="auto"/>
          <w:highlight w:val="none"/>
          <w:lang w:val="en-US"/>
        </w:rPr>
        <w:t>工作</w:t>
      </w:r>
      <w:r>
        <w:rPr>
          <w:rFonts w:hint="eastAsia"/>
          <w:color w:val="auto"/>
          <w:highlight w:val="none"/>
        </w:rPr>
        <w:t>基本要求如下：</w:t>
      </w:r>
    </w:p>
    <w:p>
      <w:pPr>
        <w:spacing w:line="360" w:lineRule="auto"/>
        <w:ind w:left="425" w:hanging="425"/>
        <w:rPr>
          <w:rFonts w:hint="eastAsia"/>
          <w:color w:val="auto"/>
          <w:highlight w:val="none"/>
        </w:rPr>
      </w:pPr>
      <w:r>
        <w:rPr>
          <w:rFonts w:hint="eastAsia"/>
          <w:color w:val="auto"/>
          <w:highlight w:val="none"/>
        </w:rPr>
        <w:t>(1)维保人员</w:t>
      </w:r>
      <w:r>
        <w:rPr>
          <w:rFonts w:hint="eastAsia"/>
          <w:color w:val="auto"/>
          <w:highlight w:val="none"/>
          <w:lang w:val="en-US"/>
        </w:rPr>
        <w:t>需</w:t>
      </w:r>
      <w:r>
        <w:rPr>
          <w:rFonts w:hint="eastAsia"/>
          <w:color w:val="auto"/>
          <w:highlight w:val="none"/>
        </w:rPr>
        <w:t>熟悉现场设备的位置；熟悉现场设备的安装、调试、维修方法。</w:t>
      </w:r>
    </w:p>
    <w:p>
      <w:pPr>
        <w:spacing w:line="360" w:lineRule="auto"/>
        <w:ind w:left="425" w:hanging="425"/>
        <w:rPr>
          <w:rFonts w:hint="eastAsia"/>
          <w:color w:val="auto"/>
          <w:highlight w:val="none"/>
        </w:rPr>
      </w:pPr>
      <w:r>
        <w:rPr>
          <w:rFonts w:hint="eastAsia"/>
          <w:color w:val="auto"/>
          <w:highlight w:val="none"/>
        </w:rPr>
        <w:t>(2)熟悉各设备的操作。尤其要熟悉集成系统、历史数据的查看方法；能处理现场的常见问题处理。</w:t>
      </w:r>
    </w:p>
    <w:p>
      <w:pPr>
        <w:spacing w:line="360" w:lineRule="auto"/>
        <w:ind w:left="425" w:hanging="425"/>
        <w:rPr>
          <w:rFonts w:hint="eastAsia"/>
          <w:color w:val="auto"/>
          <w:highlight w:val="none"/>
        </w:rPr>
      </w:pPr>
      <w:r>
        <w:rPr>
          <w:rFonts w:hint="eastAsia"/>
          <w:color w:val="auto"/>
          <w:highlight w:val="none"/>
        </w:rPr>
        <w:t xml:space="preserve">(3)维保人员应按计划对弱电设备进行巡检，并做好巡检记录。 </w:t>
      </w:r>
    </w:p>
    <w:p>
      <w:pPr>
        <w:spacing w:line="360" w:lineRule="auto"/>
        <w:ind w:left="425" w:hanging="425"/>
        <w:rPr>
          <w:rFonts w:hint="eastAsia"/>
          <w:color w:val="auto"/>
          <w:highlight w:val="none"/>
        </w:rPr>
      </w:pPr>
      <w:r>
        <w:rPr>
          <w:rFonts w:hint="eastAsia"/>
          <w:color w:val="auto"/>
          <w:highlight w:val="none"/>
        </w:rPr>
        <w:t>(4)维修要及时，必须做到当天发现的问题，当天现场检查维修</w:t>
      </w:r>
      <w:r>
        <w:rPr>
          <w:rFonts w:hint="eastAsia"/>
          <w:color w:val="auto"/>
          <w:highlight w:val="none"/>
          <w:lang w:val="en-US"/>
        </w:rPr>
        <w:t>并</w:t>
      </w:r>
      <w:r>
        <w:rPr>
          <w:rFonts w:hint="eastAsia"/>
          <w:color w:val="auto"/>
          <w:highlight w:val="none"/>
        </w:rPr>
        <w:t>记录</w:t>
      </w:r>
      <w:r>
        <w:rPr>
          <w:rFonts w:hint="eastAsia"/>
          <w:color w:val="auto"/>
          <w:highlight w:val="none"/>
          <w:lang w:val="en-US"/>
        </w:rPr>
        <w:t>在案</w:t>
      </w:r>
      <w:r>
        <w:rPr>
          <w:rFonts w:hint="eastAsia"/>
          <w:color w:val="auto"/>
          <w:highlight w:val="none"/>
        </w:rPr>
        <w:t>。</w:t>
      </w:r>
    </w:p>
    <w:p>
      <w:pPr>
        <w:spacing w:line="360" w:lineRule="auto"/>
        <w:ind w:left="425" w:hanging="425"/>
        <w:rPr>
          <w:rFonts w:hint="eastAsia"/>
          <w:color w:val="auto"/>
          <w:highlight w:val="none"/>
        </w:rPr>
      </w:pPr>
      <w:r>
        <w:rPr>
          <w:rFonts w:hint="eastAsia"/>
          <w:color w:val="auto"/>
          <w:highlight w:val="none"/>
        </w:rPr>
        <w:t>(5)维修记录</w:t>
      </w:r>
      <w:r>
        <w:rPr>
          <w:rFonts w:hint="eastAsia"/>
          <w:color w:val="auto"/>
          <w:highlight w:val="none"/>
          <w:lang w:val="en-US"/>
        </w:rPr>
        <w:t>需在</w:t>
      </w:r>
      <w:r>
        <w:rPr>
          <w:rFonts w:hint="eastAsia"/>
          <w:color w:val="auto"/>
          <w:highlight w:val="none"/>
        </w:rPr>
        <w:t>电脑</w:t>
      </w:r>
      <w:r>
        <w:rPr>
          <w:rFonts w:hint="eastAsia"/>
          <w:color w:val="auto"/>
          <w:highlight w:val="none"/>
          <w:lang w:val="en-US"/>
        </w:rPr>
        <w:t>中记录并定期发给采购人相关管理人员</w:t>
      </w:r>
      <w:r>
        <w:rPr>
          <w:rFonts w:hint="eastAsia"/>
          <w:color w:val="auto"/>
          <w:highlight w:val="none"/>
        </w:rPr>
        <w:t xml:space="preserve">。 </w:t>
      </w:r>
    </w:p>
    <w:p>
      <w:pPr>
        <w:spacing w:line="360" w:lineRule="auto"/>
        <w:ind w:left="425" w:hanging="425"/>
        <w:rPr>
          <w:rFonts w:hint="eastAsia"/>
          <w:color w:val="auto"/>
          <w:highlight w:val="none"/>
        </w:rPr>
      </w:pPr>
      <w:r>
        <w:rPr>
          <w:rFonts w:hint="eastAsia"/>
          <w:color w:val="auto"/>
          <w:highlight w:val="none"/>
        </w:rPr>
        <w:t>(6)维保人员发现意外情况应及时准确地向</w:t>
      </w:r>
      <w:r>
        <w:rPr>
          <w:rFonts w:hint="eastAsia"/>
          <w:color w:val="auto"/>
          <w:highlight w:val="none"/>
          <w:lang w:val="en-US"/>
        </w:rPr>
        <w:t>采购人相关管理人员</w:t>
      </w:r>
      <w:r>
        <w:rPr>
          <w:rFonts w:hint="eastAsia"/>
          <w:color w:val="auto"/>
          <w:highlight w:val="none"/>
        </w:rPr>
        <w:t xml:space="preserve">报告。 </w:t>
      </w:r>
    </w:p>
    <w:p>
      <w:pPr>
        <w:spacing w:line="360" w:lineRule="auto"/>
        <w:ind w:left="425" w:hanging="425"/>
        <w:rPr>
          <w:rFonts w:hint="eastAsia"/>
          <w:color w:val="auto"/>
          <w:highlight w:val="none"/>
        </w:rPr>
      </w:pPr>
      <w:r>
        <w:rPr>
          <w:rFonts w:hint="eastAsia"/>
          <w:color w:val="auto"/>
          <w:highlight w:val="none"/>
        </w:rPr>
        <w:t>(7)要熟记</w:t>
      </w:r>
      <w:r>
        <w:rPr>
          <w:rFonts w:hint="eastAsia"/>
          <w:color w:val="auto"/>
          <w:highlight w:val="none"/>
          <w:lang w:val="en-US"/>
        </w:rPr>
        <w:t>采购人</w:t>
      </w:r>
      <w:r>
        <w:rPr>
          <w:rFonts w:hint="eastAsia"/>
          <w:color w:val="auto"/>
          <w:highlight w:val="none"/>
        </w:rPr>
        <w:t xml:space="preserve">常用电话与人名、职务，保持工作沟通。 </w:t>
      </w:r>
    </w:p>
    <w:p>
      <w:pPr>
        <w:spacing w:line="360" w:lineRule="auto"/>
        <w:ind w:left="425" w:hanging="425"/>
        <w:rPr>
          <w:rFonts w:hint="eastAsia"/>
          <w:color w:val="auto"/>
          <w:highlight w:val="none"/>
        </w:rPr>
      </w:pPr>
      <w:r>
        <w:rPr>
          <w:rFonts w:hint="eastAsia"/>
          <w:color w:val="auto"/>
          <w:highlight w:val="none"/>
        </w:rPr>
        <w:t>(8)妥善保存维修备件，待修件、完好件分区存放，做好书面记录。</w:t>
      </w:r>
    </w:p>
    <w:p>
      <w:pPr>
        <w:spacing w:line="360" w:lineRule="auto"/>
        <w:ind w:left="425" w:hanging="425"/>
        <w:rPr>
          <w:rFonts w:hint="eastAsia"/>
          <w:color w:val="auto"/>
          <w:highlight w:val="none"/>
        </w:rPr>
      </w:pPr>
      <w:r>
        <w:rPr>
          <w:rFonts w:hint="eastAsia"/>
          <w:color w:val="auto"/>
          <w:highlight w:val="none"/>
        </w:rPr>
        <w:t>(9)除工程师工作站外，其</w:t>
      </w:r>
      <w:r>
        <w:rPr>
          <w:rFonts w:hint="eastAsia"/>
          <w:color w:val="auto"/>
          <w:highlight w:val="none"/>
          <w:lang w:val="en-US"/>
        </w:rPr>
        <w:t>他</w:t>
      </w:r>
      <w:r>
        <w:rPr>
          <w:rFonts w:hint="eastAsia"/>
          <w:color w:val="auto"/>
          <w:highlight w:val="none"/>
        </w:rPr>
        <w:t>电脑禁止安装任何软件，禁止</w:t>
      </w:r>
      <w:r>
        <w:rPr>
          <w:rFonts w:hint="eastAsia"/>
          <w:color w:val="auto"/>
          <w:highlight w:val="none"/>
          <w:lang w:val="en-US"/>
        </w:rPr>
        <w:t>文件</w:t>
      </w:r>
      <w:r>
        <w:rPr>
          <w:rFonts w:hint="eastAsia"/>
          <w:color w:val="auto"/>
          <w:highlight w:val="none"/>
        </w:rPr>
        <w:t>拷入/拷出操作。禁止非本班值班人员操作值班设备。</w:t>
      </w:r>
      <w:r>
        <w:rPr>
          <w:rFonts w:hint="eastAsia"/>
          <w:color w:val="auto"/>
          <w:highlight w:val="none"/>
          <w:lang w:val="en-US"/>
        </w:rPr>
        <w:t>未经许可</w:t>
      </w:r>
      <w:r>
        <w:rPr>
          <w:rFonts w:hint="eastAsia"/>
          <w:color w:val="auto"/>
          <w:highlight w:val="none"/>
        </w:rPr>
        <w:t>不</w:t>
      </w:r>
      <w:r>
        <w:rPr>
          <w:rFonts w:hint="eastAsia"/>
          <w:color w:val="auto"/>
          <w:highlight w:val="none"/>
          <w:lang w:val="en-US"/>
        </w:rPr>
        <w:t>得以采购人工作人员的身份</w:t>
      </w:r>
      <w:r>
        <w:rPr>
          <w:rFonts w:hint="eastAsia"/>
          <w:color w:val="auto"/>
          <w:highlight w:val="none"/>
        </w:rPr>
        <w:t>接受新闻媒体采访，不得对外泄漏医院内部信息。</w:t>
      </w:r>
    </w:p>
    <w:p>
      <w:pPr>
        <w:spacing w:line="360" w:lineRule="auto"/>
        <w:ind w:left="425" w:hanging="425"/>
        <w:rPr>
          <w:rFonts w:hint="eastAsia"/>
          <w:color w:val="auto"/>
          <w:highlight w:val="none"/>
        </w:rPr>
      </w:pPr>
      <w:r>
        <w:rPr>
          <w:rFonts w:hint="eastAsia"/>
          <w:color w:val="auto"/>
          <w:highlight w:val="none"/>
        </w:rPr>
        <w:t>(10)为更好地管理维</w:t>
      </w:r>
      <w:r>
        <w:rPr>
          <w:rFonts w:hint="eastAsia"/>
          <w:color w:val="auto"/>
          <w:highlight w:val="none"/>
          <w:lang w:val="en-US"/>
        </w:rPr>
        <w:t>保</w:t>
      </w:r>
      <w:r>
        <w:rPr>
          <w:rFonts w:hint="eastAsia"/>
          <w:color w:val="auto"/>
          <w:highlight w:val="none"/>
        </w:rPr>
        <w:t>服务</w:t>
      </w:r>
      <w:r>
        <w:rPr>
          <w:rFonts w:hint="eastAsia"/>
          <w:color w:val="auto"/>
          <w:highlight w:val="none"/>
          <w:lang w:val="en-US"/>
        </w:rPr>
        <w:t>工作</w:t>
      </w:r>
      <w:r>
        <w:rPr>
          <w:rFonts w:hint="eastAsia"/>
          <w:color w:val="auto"/>
          <w:highlight w:val="none"/>
        </w:rPr>
        <w:t>，本项目</w:t>
      </w:r>
      <w:r>
        <w:rPr>
          <w:rFonts w:hint="eastAsia"/>
          <w:color w:val="auto"/>
          <w:highlight w:val="none"/>
          <w:lang w:val="en-US"/>
        </w:rPr>
        <w:t>成交人</w:t>
      </w:r>
      <w:r>
        <w:rPr>
          <w:rFonts w:hint="eastAsia"/>
          <w:color w:val="auto"/>
          <w:highlight w:val="none"/>
        </w:rPr>
        <w:t>应对维修设备进行逐个编号、检查，登记设备的硬件使用情况、存在</w:t>
      </w:r>
      <w:r>
        <w:rPr>
          <w:rFonts w:hint="eastAsia"/>
          <w:color w:val="auto"/>
          <w:highlight w:val="none"/>
          <w:lang w:val="en-US"/>
        </w:rPr>
        <w:t>的</w:t>
      </w:r>
      <w:r>
        <w:rPr>
          <w:rFonts w:hint="eastAsia"/>
          <w:color w:val="auto"/>
          <w:highlight w:val="none"/>
        </w:rPr>
        <w:t>问题，按每个设备建立独立的设备档案资料，以便于日后开展设备维修保养工作。</w:t>
      </w:r>
    </w:p>
    <w:p>
      <w:pPr>
        <w:spacing w:line="360" w:lineRule="auto"/>
        <w:ind w:left="425" w:hanging="425"/>
        <w:rPr>
          <w:rFonts w:hint="eastAsia"/>
          <w:color w:val="auto"/>
          <w:highlight w:val="none"/>
        </w:rPr>
      </w:pPr>
      <w:r>
        <w:rPr>
          <w:rFonts w:hint="eastAsia"/>
          <w:color w:val="auto"/>
          <w:highlight w:val="none"/>
        </w:rPr>
        <w:t>(11)在维</w:t>
      </w:r>
      <w:r>
        <w:rPr>
          <w:rFonts w:hint="eastAsia"/>
          <w:color w:val="auto"/>
          <w:highlight w:val="none"/>
          <w:lang w:val="en-US"/>
        </w:rPr>
        <w:t>保</w:t>
      </w:r>
      <w:r>
        <w:rPr>
          <w:rFonts w:hint="eastAsia"/>
          <w:color w:val="auto"/>
          <w:highlight w:val="none"/>
        </w:rPr>
        <w:t>过程中，通过记录每个设备的维修备件替换情况、故障问题等情况，不断地</w:t>
      </w:r>
      <w:r>
        <w:rPr>
          <w:rFonts w:hint="eastAsia"/>
          <w:color w:val="auto"/>
          <w:highlight w:val="none"/>
          <w:lang w:val="en-US"/>
        </w:rPr>
        <w:t>完善</w:t>
      </w:r>
      <w:r>
        <w:rPr>
          <w:rFonts w:hint="eastAsia"/>
          <w:color w:val="auto"/>
          <w:highlight w:val="none"/>
        </w:rPr>
        <w:t>设备档案资料，提高设备维护效率，节省维修时间，从而使得医院</w:t>
      </w:r>
      <w:r>
        <w:rPr>
          <w:rFonts w:hint="eastAsia"/>
          <w:color w:val="auto"/>
          <w:highlight w:val="none"/>
          <w:lang w:val="en-US"/>
        </w:rPr>
        <w:t>医疗日常</w:t>
      </w:r>
      <w:r>
        <w:rPr>
          <w:rFonts w:hint="eastAsia"/>
          <w:color w:val="auto"/>
          <w:highlight w:val="none"/>
        </w:rPr>
        <w:t>工作能更顺利地进行。</w:t>
      </w:r>
    </w:p>
    <w:p>
      <w:pPr>
        <w:spacing w:line="360" w:lineRule="auto"/>
        <w:ind w:firstLine="440" w:firstLineChars="200"/>
        <w:rPr>
          <w:rFonts w:hint="eastAsia"/>
          <w:color w:val="auto"/>
          <w:highlight w:val="none"/>
        </w:rPr>
      </w:pPr>
      <w:r>
        <w:rPr>
          <w:rFonts w:hint="eastAsia"/>
          <w:color w:val="auto"/>
          <w:highlight w:val="none"/>
          <w:lang w:val="en-US"/>
        </w:rPr>
        <w:t>3.</w:t>
      </w:r>
      <w:r>
        <w:rPr>
          <w:rFonts w:hint="eastAsia"/>
          <w:color w:val="auto"/>
          <w:highlight w:val="none"/>
        </w:rPr>
        <w:t>属于原厂商维护保养期内的设备出现故障时，由</w:t>
      </w:r>
      <w:r>
        <w:rPr>
          <w:rFonts w:hint="eastAsia"/>
          <w:color w:val="auto"/>
          <w:highlight w:val="none"/>
          <w:lang w:val="en-US"/>
        </w:rPr>
        <w:t>成交人</w:t>
      </w:r>
      <w:r>
        <w:rPr>
          <w:rFonts w:hint="eastAsia"/>
          <w:color w:val="auto"/>
          <w:highlight w:val="none"/>
        </w:rPr>
        <w:t>联系原厂商对设备进行免费维修，并在设备维修好后安装回原处，采购人不负责任何费用。</w:t>
      </w:r>
    </w:p>
    <w:p>
      <w:pPr>
        <w:spacing w:line="360" w:lineRule="auto"/>
        <w:ind w:firstLine="440" w:firstLineChars="200"/>
        <w:rPr>
          <w:rFonts w:hint="eastAsia"/>
          <w:color w:val="auto"/>
          <w:highlight w:val="none"/>
        </w:rPr>
      </w:pPr>
      <w:r>
        <w:rPr>
          <w:rFonts w:hint="eastAsia"/>
          <w:color w:val="auto"/>
          <w:highlight w:val="none"/>
          <w:lang w:val="en-US"/>
        </w:rPr>
        <w:t>4.</w:t>
      </w:r>
      <w:bookmarkStart w:id="4" w:name="OLE_LINK6"/>
      <w:r>
        <w:rPr>
          <w:rFonts w:hint="eastAsia"/>
          <w:color w:val="auto"/>
          <w:highlight w:val="none"/>
        </w:rPr>
        <w:t>驻场工程师</w:t>
      </w:r>
      <w:r>
        <w:rPr>
          <w:rFonts w:hint="eastAsia"/>
          <w:color w:val="auto"/>
          <w:highlight w:val="none"/>
          <w:lang w:val="en-US"/>
        </w:rPr>
        <w:t>需</w:t>
      </w:r>
      <w:r>
        <w:rPr>
          <w:rFonts w:hint="eastAsia"/>
          <w:color w:val="auto"/>
          <w:highlight w:val="none"/>
        </w:rPr>
        <w:t>对医院所涉及的终端电脑、各类打印设备、操作系统及医院系统业务软件进行充分熟悉学习并</w:t>
      </w:r>
      <w:r>
        <w:rPr>
          <w:rFonts w:hint="eastAsia"/>
          <w:color w:val="auto"/>
          <w:highlight w:val="none"/>
          <w:lang w:val="en-US"/>
        </w:rPr>
        <w:t>熟练</w:t>
      </w:r>
      <w:r>
        <w:rPr>
          <w:rFonts w:hint="eastAsia"/>
          <w:color w:val="auto"/>
          <w:highlight w:val="none"/>
        </w:rPr>
        <w:t>掌握安装配置维护</w:t>
      </w:r>
      <w:r>
        <w:rPr>
          <w:rFonts w:hint="eastAsia"/>
          <w:color w:val="auto"/>
          <w:highlight w:val="none"/>
          <w:lang w:val="en-US"/>
        </w:rPr>
        <w:t>技术</w:t>
      </w:r>
      <w:r>
        <w:rPr>
          <w:rFonts w:hint="eastAsia"/>
          <w:color w:val="auto"/>
          <w:highlight w:val="none"/>
        </w:rPr>
        <w:t>，</w:t>
      </w:r>
      <w:bookmarkEnd w:id="4"/>
      <w:r>
        <w:rPr>
          <w:rFonts w:hint="eastAsia"/>
          <w:color w:val="auto"/>
          <w:highlight w:val="none"/>
        </w:rPr>
        <w:t>要求终端电脑或打印设备配套软件可以正常工作，并优化配置，使工作站正常运行，当运用软件出现问题时，能</w:t>
      </w:r>
      <w:r>
        <w:rPr>
          <w:rFonts w:hint="eastAsia"/>
          <w:color w:val="auto"/>
          <w:highlight w:val="none"/>
          <w:lang w:val="en-US"/>
        </w:rPr>
        <w:t>及时</w:t>
      </w:r>
      <w:r>
        <w:rPr>
          <w:rFonts w:hint="eastAsia"/>
          <w:color w:val="auto"/>
          <w:highlight w:val="none"/>
        </w:rPr>
        <w:t>发现并协助相关技术人员解决故障或进行对应的变更、升级等操作。所有维修的电脑终端设备，在交还到</w:t>
      </w:r>
      <w:r>
        <w:rPr>
          <w:rFonts w:hint="eastAsia"/>
          <w:color w:val="auto"/>
          <w:highlight w:val="none"/>
          <w:lang w:val="en-US"/>
        </w:rPr>
        <w:t>使用</w:t>
      </w:r>
      <w:r>
        <w:rPr>
          <w:rFonts w:hint="eastAsia"/>
          <w:color w:val="auto"/>
          <w:highlight w:val="none"/>
        </w:rPr>
        <w:t>科室时，将所需的配套软件系统安装调试完毕，网络调试通畅，交由科室</w:t>
      </w:r>
      <w:r>
        <w:rPr>
          <w:rFonts w:hint="eastAsia"/>
          <w:color w:val="auto"/>
          <w:highlight w:val="none"/>
          <w:lang w:val="en-US"/>
        </w:rPr>
        <w:t>工作</w:t>
      </w:r>
      <w:r>
        <w:rPr>
          <w:rFonts w:hint="eastAsia"/>
          <w:color w:val="auto"/>
          <w:highlight w:val="none"/>
        </w:rPr>
        <w:t>人员即插即用。</w:t>
      </w:r>
    </w:p>
    <w:p>
      <w:pPr>
        <w:spacing w:line="360" w:lineRule="auto"/>
        <w:ind w:firstLine="440" w:firstLineChars="200"/>
        <w:rPr>
          <w:rFonts w:hint="eastAsia"/>
          <w:color w:val="auto"/>
          <w:highlight w:val="none"/>
        </w:rPr>
      </w:pPr>
      <w:r>
        <w:rPr>
          <w:rFonts w:hint="eastAsia"/>
          <w:color w:val="auto"/>
          <w:highlight w:val="none"/>
          <w:lang w:val="en-US"/>
        </w:rPr>
        <w:t>5.</w:t>
      </w:r>
      <w:r>
        <w:rPr>
          <w:rFonts w:hint="eastAsia"/>
          <w:color w:val="auto"/>
          <w:highlight w:val="none"/>
        </w:rPr>
        <w:t>驻场工程师</w:t>
      </w:r>
      <w:r>
        <w:rPr>
          <w:rFonts w:hint="eastAsia"/>
          <w:color w:val="auto"/>
          <w:highlight w:val="none"/>
          <w:lang w:val="en-US"/>
        </w:rPr>
        <w:t>需</w:t>
      </w:r>
      <w:r>
        <w:rPr>
          <w:rFonts w:hint="eastAsia"/>
          <w:color w:val="auto"/>
          <w:highlight w:val="none"/>
        </w:rPr>
        <w:t>对医院所涉及的</w:t>
      </w:r>
      <w:r>
        <w:rPr>
          <w:rFonts w:hint="eastAsia"/>
          <w:color w:val="auto"/>
          <w:highlight w:val="none"/>
          <w:lang w:val="en-US" w:eastAsia="zh-CN"/>
        </w:rPr>
        <w:t>交换机、路由器等网络交换设备</w:t>
      </w:r>
      <w:r>
        <w:rPr>
          <w:rFonts w:hint="eastAsia"/>
          <w:color w:val="auto"/>
          <w:highlight w:val="none"/>
        </w:rPr>
        <w:t>进行充分熟悉学习并</w:t>
      </w:r>
      <w:r>
        <w:rPr>
          <w:rFonts w:hint="eastAsia"/>
          <w:color w:val="auto"/>
          <w:highlight w:val="none"/>
          <w:lang w:val="en-US"/>
        </w:rPr>
        <w:t>熟练</w:t>
      </w:r>
      <w:r>
        <w:rPr>
          <w:rFonts w:hint="eastAsia"/>
          <w:color w:val="auto"/>
          <w:highlight w:val="none"/>
        </w:rPr>
        <w:t>掌握</w:t>
      </w:r>
      <w:r>
        <w:rPr>
          <w:rFonts w:hint="eastAsia"/>
          <w:color w:val="auto"/>
          <w:highlight w:val="none"/>
          <w:lang w:val="en-US" w:eastAsia="zh-CN"/>
        </w:rPr>
        <w:t>网络</w:t>
      </w:r>
      <w:r>
        <w:rPr>
          <w:rFonts w:hint="eastAsia"/>
          <w:color w:val="auto"/>
          <w:highlight w:val="none"/>
        </w:rPr>
        <w:t>维护</w:t>
      </w:r>
      <w:r>
        <w:rPr>
          <w:rFonts w:hint="eastAsia"/>
          <w:color w:val="auto"/>
          <w:highlight w:val="none"/>
          <w:lang w:val="en-US"/>
        </w:rPr>
        <w:t>技术</w:t>
      </w:r>
      <w:r>
        <w:rPr>
          <w:rFonts w:hint="eastAsia"/>
          <w:color w:val="auto"/>
          <w:highlight w:val="none"/>
        </w:rPr>
        <w:t>，网络维护</w:t>
      </w:r>
      <w:r>
        <w:rPr>
          <w:rFonts w:hint="eastAsia"/>
          <w:color w:val="auto"/>
          <w:highlight w:val="none"/>
          <w:lang w:val="en-US"/>
        </w:rPr>
        <w:t>工作</w:t>
      </w:r>
      <w:r>
        <w:rPr>
          <w:rFonts w:hint="eastAsia"/>
          <w:color w:val="auto"/>
          <w:highlight w:val="none"/>
        </w:rPr>
        <w:t>包括机房核心交换机、配线间接入交换机以及交换机上的光纤模块、堆叠线，跳线等故障的排除和维修，保障楼宇之间的主干光纤，交换机到客户端连接的网络通畅连接，数据交换高速稳定，包含楼层接入交换机或网络面板到工作站之间的网络布线、扎线、拉线槽等。</w:t>
      </w:r>
      <w:bookmarkStart w:id="6" w:name="_GoBack"/>
      <w:bookmarkEnd w:id="6"/>
    </w:p>
    <w:p>
      <w:pPr>
        <w:spacing w:line="360" w:lineRule="auto"/>
        <w:ind w:firstLine="440" w:firstLineChars="200"/>
        <w:rPr>
          <w:rFonts w:hint="eastAsia"/>
          <w:bCs/>
          <w:color w:val="auto"/>
          <w:highlight w:val="none"/>
        </w:rPr>
      </w:pPr>
      <w:r>
        <w:rPr>
          <w:rFonts w:hint="eastAsia"/>
          <w:bCs/>
          <w:color w:val="auto"/>
          <w:highlight w:val="none"/>
          <w:lang w:val="en-US"/>
        </w:rPr>
        <w:t>6.</w:t>
      </w:r>
      <w:r>
        <w:rPr>
          <w:rFonts w:hint="eastAsia"/>
          <w:bCs/>
          <w:color w:val="auto"/>
          <w:highlight w:val="none"/>
        </w:rPr>
        <w:t>在维护期内，医院的数据中心机房业务系统服务器因维护维修硬件时，如需额外支付数据迁移服务费等费用，</w:t>
      </w:r>
      <w:r>
        <w:rPr>
          <w:rFonts w:hint="eastAsia"/>
          <w:bCs/>
          <w:color w:val="auto"/>
          <w:highlight w:val="none"/>
          <w:lang w:val="en-US"/>
        </w:rPr>
        <w:t>成交人需</w:t>
      </w:r>
      <w:r>
        <w:rPr>
          <w:rFonts w:hint="eastAsia"/>
          <w:bCs/>
          <w:color w:val="auto"/>
          <w:highlight w:val="none"/>
        </w:rPr>
        <w:t>负责承担</w:t>
      </w:r>
      <w:r>
        <w:rPr>
          <w:rFonts w:hint="eastAsia"/>
          <w:bCs/>
          <w:color w:val="auto"/>
          <w:highlight w:val="none"/>
          <w:lang w:val="en-US"/>
        </w:rPr>
        <w:t>由此产生的</w:t>
      </w:r>
      <w:r>
        <w:rPr>
          <w:rFonts w:hint="eastAsia"/>
          <w:bCs/>
          <w:color w:val="auto"/>
          <w:highlight w:val="none"/>
        </w:rPr>
        <w:t>相关费用。</w:t>
      </w:r>
    </w:p>
    <w:p>
      <w:pPr>
        <w:spacing w:line="360" w:lineRule="auto"/>
        <w:ind w:firstLine="440" w:firstLineChars="200"/>
        <w:rPr>
          <w:rFonts w:hint="eastAsia"/>
          <w:color w:val="auto"/>
          <w:highlight w:val="none"/>
        </w:rPr>
      </w:pPr>
      <w:r>
        <w:rPr>
          <w:rFonts w:hint="eastAsia"/>
          <w:color w:val="auto"/>
          <w:highlight w:val="none"/>
          <w:lang w:val="en-US"/>
        </w:rPr>
        <w:t>7.</w:t>
      </w:r>
      <w:r>
        <w:rPr>
          <w:rFonts w:hint="eastAsia"/>
          <w:color w:val="auto"/>
          <w:highlight w:val="none"/>
        </w:rPr>
        <w:t>驻场人员接到</w:t>
      </w:r>
      <w:r>
        <w:rPr>
          <w:rFonts w:hint="eastAsia"/>
          <w:color w:val="auto"/>
          <w:highlight w:val="none"/>
          <w:lang w:val="en-US"/>
        </w:rPr>
        <w:t>采购人使用</w:t>
      </w:r>
      <w:r>
        <w:rPr>
          <w:rFonts w:hint="eastAsia"/>
          <w:color w:val="auto"/>
          <w:highlight w:val="none"/>
        </w:rPr>
        <w:t>科室报障</w:t>
      </w:r>
      <w:r>
        <w:rPr>
          <w:rFonts w:hint="eastAsia"/>
          <w:color w:val="auto"/>
          <w:highlight w:val="none"/>
          <w:lang w:val="en-US"/>
        </w:rPr>
        <w:t>后</w:t>
      </w:r>
      <w:r>
        <w:rPr>
          <w:rFonts w:hint="eastAsia"/>
          <w:color w:val="auto"/>
          <w:highlight w:val="none"/>
        </w:rPr>
        <w:t>先初步排除</w:t>
      </w:r>
      <w:r>
        <w:rPr>
          <w:rFonts w:hint="eastAsia"/>
          <w:color w:val="auto"/>
          <w:highlight w:val="none"/>
          <w:lang w:val="en-US"/>
        </w:rPr>
        <w:t>设备故障</w:t>
      </w:r>
      <w:r>
        <w:rPr>
          <w:rFonts w:hint="eastAsia"/>
          <w:color w:val="auto"/>
          <w:highlight w:val="none"/>
        </w:rPr>
        <w:t>，能现场解决的现场处理，需要更换配件的及时和</w:t>
      </w:r>
      <w:r>
        <w:rPr>
          <w:rFonts w:hint="eastAsia"/>
          <w:color w:val="auto"/>
          <w:highlight w:val="none"/>
          <w:lang w:val="en-US"/>
        </w:rPr>
        <w:t>采购人</w:t>
      </w:r>
      <w:r>
        <w:rPr>
          <w:rFonts w:hint="eastAsia"/>
          <w:color w:val="auto"/>
          <w:highlight w:val="none"/>
        </w:rPr>
        <w:t>相关人员沟通，需要进行维修的，</w:t>
      </w:r>
      <w:r>
        <w:rPr>
          <w:rFonts w:hint="eastAsia"/>
          <w:color w:val="auto"/>
          <w:highlight w:val="none"/>
          <w:lang w:val="en-US"/>
        </w:rPr>
        <w:t>则需</w:t>
      </w:r>
      <w:r>
        <w:rPr>
          <w:rFonts w:hint="eastAsia"/>
          <w:color w:val="auto"/>
          <w:highlight w:val="none"/>
        </w:rPr>
        <w:t>提供备用设备供</w:t>
      </w:r>
      <w:r>
        <w:rPr>
          <w:rFonts w:hint="eastAsia"/>
          <w:color w:val="auto"/>
          <w:highlight w:val="none"/>
          <w:lang w:val="en-US"/>
        </w:rPr>
        <w:t>采购人使用</w:t>
      </w:r>
      <w:r>
        <w:rPr>
          <w:rFonts w:hint="eastAsia"/>
          <w:color w:val="auto"/>
          <w:highlight w:val="none"/>
        </w:rPr>
        <w:t>科室使用。</w:t>
      </w:r>
    </w:p>
    <w:p>
      <w:pPr>
        <w:spacing w:line="360" w:lineRule="auto"/>
        <w:ind w:firstLine="440" w:firstLineChars="200"/>
        <w:rPr>
          <w:rFonts w:hint="eastAsia"/>
          <w:color w:val="auto"/>
          <w:highlight w:val="none"/>
        </w:rPr>
      </w:pPr>
      <w:r>
        <w:rPr>
          <w:rFonts w:hint="eastAsia"/>
          <w:color w:val="auto"/>
          <w:highlight w:val="none"/>
          <w:lang w:val="en-US"/>
        </w:rPr>
        <w:t>8.</w:t>
      </w:r>
      <w:r>
        <w:rPr>
          <w:rFonts w:hint="eastAsia"/>
          <w:color w:val="auto"/>
          <w:highlight w:val="none"/>
        </w:rPr>
        <w:t>驻场工程师在对院内设备操作过程中，提前和相关科室充分沟通其所修设备数据目录，提前做好相关数据备份，终端设备由维修维护导致的数据丢失由</w:t>
      </w:r>
      <w:r>
        <w:rPr>
          <w:rFonts w:hint="eastAsia"/>
          <w:color w:val="auto"/>
          <w:highlight w:val="none"/>
          <w:lang w:val="en-US"/>
        </w:rPr>
        <w:t>成交人</w:t>
      </w:r>
      <w:r>
        <w:rPr>
          <w:rFonts w:hint="eastAsia"/>
          <w:color w:val="auto"/>
          <w:highlight w:val="none"/>
        </w:rPr>
        <w:t>负责（设备正常使用损坏所造成的数据丢失不在范围内）。</w:t>
      </w:r>
    </w:p>
    <w:p>
      <w:pPr>
        <w:spacing w:line="360" w:lineRule="auto"/>
        <w:ind w:firstLine="440" w:firstLineChars="200"/>
        <w:rPr>
          <w:rFonts w:hint="eastAsia"/>
          <w:color w:val="auto"/>
          <w:highlight w:val="none"/>
        </w:rPr>
      </w:pPr>
      <w:r>
        <w:rPr>
          <w:rFonts w:hint="eastAsia"/>
          <w:color w:val="auto"/>
          <w:highlight w:val="none"/>
          <w:lang w:val="en-US"/>
        </w:rPr>
        <w:t>9.</w:t>
      </w:r>
      <w:r>
        <w:rPr>
          <w:rFonts w:hint="eastAsia"/>
          <w:bCs/>
          <w:color w:val="auto"/>
          <w:highlight w:val="none"/>
        </w:rPr>
        <w:t>信息化设备维修</w:t>
      </w:r>
      <w:r>
        <w:rPr>
          <w:rFonts w:hint="eastAsia"/>
          <w:bCs/>
          <w:color w:val="auto"/>
          <w:highlight w:val="none"/>
          <w:lang w:val="en-US"/>
        </w:rPr>
        <w:t>时间</w:t>
      </w:r>
      <w:r>
        <w:rPr>
          <w:rFonts w:hint="eastAsia"/>
          <w:bCs/>
          <w:color w:val="auto"/>
          <w:highlight w:val="none"/>
        </w:rPr>
        <w:t>要求：</w:t>
      </w:r>
    </w:p>
    <w:p>
      <w:pPr>
        <w:spacing w:line="360" w:lineRule="auto"/>
        <w:ind w:firstLine="660" w:firstLineChars="300"/>
        <w:rPr>
          <w:rFonts w:hint="eastAsia"/>
          <w:color w:val="auto"/>
          <w:highlight w:val="none"/>
        </w:rPr>
      </w:pPr>
      <w:r>
        <w:rPr>
          <w:rFonts w:hint="eastAsia"/>
          <w:color w:val="auto"/>
          <w:highlight w:val="none"/>
          <w:lang w:val="en-US"/>
        </w:rPr>
        <w:t>9</w:t>
      </w:r>
      <w:r>
        <w:rPr>
          <w:rFonts w:hint="eastAsia"/>
          <w:color w:val="auto"/>
          <w:highlight w:val="none"/>
        </w:rPr>
        <w:t>.1</w:t>
      </w:r>
      <w:r>
        <w:rPr>
          <w:rFonts w:hint="eastAsia"/>
          <w:color w:val="auto"/>
          <w:highlight w:val="none"/>
          <w:lang w:val="en-US"/>
        </w:rPr>
        <w:t>.</w:t>
      </w:r>
      <w:r>
        <w:rPr>
          <w:rFonts w:hint="eastAsia"/>
          <w:color w:val="auto"/>
          <w:highlight w:val="none"/>
        </w:rPr>
        <w:t>使用时间在6年以内的信息化设备，单次维修天数不超过3天，每季度（或最近三个月）维修次数不得超过3次，</w:t>
      </w:r>
      <w:r>
        <w:rPr>
          <w:rFonts w:hint="eastAsia"/>
          <w:color w:val="auto"/>
          <w:highlight w:val="none"/>
          <w:lang w:val="en-US"/>
        </w:rPr>
        <w:t>合同履行期内</w:t>
      </w:r>
      <w:r>
        <w:rPr>
          <w:rFonts w:hint="eastAsia"/>
          <w:color w:val="auto"/>
          <w:highlight w:val="none"/>
        </w:rPr>
        <w:t>停机总天数不得超过10天。</w:t>
      </w:r>
    </w:p>
    <w:p>
      <w:pPr>
        <w:spacing w:line="360" w:lineRule="auto"/>
        <w:ind w:firstLine="660" w:firstLineChars="300"/>
        <w:rPr>
          <w:rFonts w:hint="eastAsia"/>
          <w:color w:val="auto"/>
          <w:highlight w:val="none"/>
        </w:rPr>
      </w:pPr>
      <w:r>
        <w:rPr>
          <w:rFonts w:hint="eastAsia"/>
          <w:color w:val="auto"/>
          <w:highlight w:val="none"/>
          <w:lang w:val="en-US"/>
        </w:rPr>
        <w:t>9</w:t>
      </w:r>
      <w:r>
        <w:rPr>
          <w:rFonts w:hint="eastAsia"/>
          <w:color w:val="auto"/>
          <w:highlight w:val="none"/>
        </w:rPr>
        <w:t>.2</w:t>
      </w:r>
      <w:r>
        <w:rPr>
          <w:rFonts w:hint="eastAsia"/>
          <w:color w:val="auto"/>
          <w:highlight w:val="none"/>
          <w:lang w:val="en-US"/>
        </w:rPr>
        <w:t>.</w:t>
      </w:r>
      <w:r>
        <w:rPr>
          <w:rFonts w:hint="eastAsia"/>
          <w:color w:val="auto"/>
          <w:highlight w:val="none"/>
        </w:rPr>
        <w:t>使用时间在6年以上的信息化设备，单次维修天数不超过5天，每季度（或最近三个月）维修次数不得超过5次，</w:t>
      </w:r>
      <w:r>
        <w:rPr>
          <w:rFonts w:hint="eastAsia"/>
          <w:color w:val="auto"/>
          <w:highlight w:val="none"/>
          <w:lang w:val="en-US"/>
        </w:rPr>
        <w:t>合同履行期内</w:t>
      </w:r>
      <w:r>
        <w:rPr>
          <w:rFonts w:hint="eastAsia"/>
          <w:color w:val="auto"/>
          <w:highlight w:val="none"/>
        </w:rPr>
        <w:t>停机总天数不超过15天。</w:t>
      </w:r>
    </w:p>
    <w:p>
      <w:pPr>
        <w:spacing w:line="360" w:lineRule="auto"/>
        <w:ind w:firstLine="440" w:firstLineChars="200"/>
        <w:rPr>
          <w:rFonts w:hint="eastAsia"/>
          <w:bCs/>
          <w:color w:val="auto"/>
          <w:highlight w:val="none"/>
        </w:rPr>
      </w:pPr>
      <w:r>
        <w:rPr>
          <w:rFonts w:hint="eastAsia"/>
          <w:color w:val="auto"/>
          <w:highlight w:val="none"/>
          <w:lang w:val="en-US"/>
        </w:rPr>
        <w:t>10.</w:t>
      </w:r>
      <w:r>
        <w:rPr>
          <w:rFonts w:hint="eastAsia"/>
          <w:bCs/>
          <w:color w:val="auto"/>
          <w:highlight w:val="none"/>
        </w:rPr>
        <w:t>定期设备检查巡检服务</w:t>
      </w:r>
    </w:p>
    <w:p>
      <w:pPr>
        <w:spacing w:line="360" w:lineRule="auto"/>
        <w:ind w:firstLine="660" w:firstLineChars="300"/>
        <w:rPr>
          <w:rFonts w:hint="eastAsia"/>
          <w:color w:val="auto"/>
          <w:highlight w:val="none"/>
        </w:rPr>
      </w:pPr>
      <w:r>
        <w:rPr>
          <w:rFonts w:hint="eastAsia"/>
          <w:color w:val="auto"/>
          <w:highlight w:val="none"/>
          <w:lang w:val="en-US"/>
        </w:rPr>
        <w:t>10</w:t>
      </w:r>
      <w:r>
        <w:rPr>
          <w:rFonts w:hint="eastAsia"/>
          <w:color w:val="auto"/>
          <w:highlight w:val="none"/>
        </w:rPr>
        <w:t>.1</w:t>
      </w:r>
      <w:r>
        <w:rPr>
          <w:rFonts w:hint="eastAsia"/>
          <w:color w:val="auto"/>
          <w:highlight w:val="none"/>
          <w:lang w:val="en-US"/>
        </w:rPr>
        <w:t>.</w:t>
      </w:r>
      <w:r>
        <w:rPr>
          <w:rFonts w:hint="eastAsia"/>
          <w:color w:val="auto"/>
          <w:highlight w:val="none"/>
        </w:rPr>
        <w:t>每月（特别是在重大节日前）派经验丰富的工程师和驻场工程师到用户主要核心设备（包含服务器存储、核心及各楼层接入交换机、精密空调、UPS等）现场进行全面检查维护。每月对维护范围内的系统、设备协助进行安全检查。</w:t>
      </w:r>
    </w:p>
    <w:p>
      <w:pPr>
        <w:spacing w:line="360" w:lineRule="auto"/>
        <w:ind w:firstLine="660" w:firstLineChars="300"/>
        <w:rPr>
          <w:rFonts w:hint="eastAsia"/>
          <w:color w:val="auto"/>
          <w:highlight w:val="none"/>
        </w:rPr>
      </w:pPr>
      <w:r>
        <w:rPr>
          <w:rFonts w:hint="eastAsia"/>
          <w:color w:val="auto"/>
          <w:highlight w:val="none"/>
          <w:lang w:val="en-US"/>
        </w:rPr>
        <w:t>10</w:t>
      </w:r>
      <w:r>
        <w:rPr>
          <w:rFonts w:hint="eastAsia"/>
          <w:color w:val="auto"/>
          <w:highlight w:val="none"/>
        </w:rPr>
        <w:t>.2</w:t>
      </w:r>
      <w:r>
        <w:rPr>
          <w:rFonts w:hint="eastAsia"/>
          <w:color w:val="auto"/>
          <w:highlight w:val="none"/>
          <w:lang w:val="en-US"/>
        </w:rPr>
        <w:t>.</w:t>
      </w:r>
      <w:r>
        <w:rPr>
          <w:rFonts w:hint="eastAsia"/>
          <w:color w:val="auto"/>
          <w:highlight w:val="none"/>
        </w:rPr>
        <w:t>详细记录</w:t>
      </w:r>
      <w:r>
        <w:rPr>
          <w:rFonts w:hint="eastAsia"/>
          <w:color w:val="auto"/>
          <w:highlight w:val="none"/>
          <w:lang w:val="en-US"/>
        </w:rPr>
        <w:t>包括但不限于</w:t>
      </w:r>
      <w:r>
        <w:rPr>
          <w:rFonts w:hint="eastAsia"/>
          <w:color w:val="auto"/>
          <w:highlight w:val="none"/>
        </w:rPr>
        <w:t>定期检查服务的处理方式、过程、结果等现场工作</w:t>
      </w:r>
      <w:r>
        <w:rPr>
          <w:rFonts w:hint="eastAsia"/>
          <w:color w:val="auto"/>
          <w:highlight w:val="none"/>
          <w:lang w:val="en-US"/>
        </w:rPr>
        <w:t>情况</w:t>
      </w:r>
      <w:r>
        <w:rPr>
          <w:rFonts w:hint="eastAsia"/>
          <w:color w:val="auto"/>
          <w:highlight w:val="none"/>
        </w:rPr>
        <w:t>。</w:t>
      </w:r>
    </w:p>
    <w:p>
      <w:pPr>
        <w:spacing w:line="360" w:lineRule="auto"/>
        <w:ind w:firstLine="660" w:firstLineChars="300"/>
        <w:rPr>
          <w:rFonts w:hint="eastAsia"/>
          <w:color w:val="auto"/>
          <w:highlight w:val="none"/>
        </w:rPr>
      </w:pPr>
      <w:r>
        <w:rPr>
          <w:rFonts w:hint="eastAsia"/>
          <w:color w:val="auto"/>
          <w:highlight w:val="none"/>
          <w:lang w:val="en-US"/>
        </w:rPr>
        <w:t>10</w:t>
      </w:r>
      <w:r>
        <w:rPr>
          <w:rFonts w:hint="eastAsia"/>
          <w:color w:val="auto"/>
          <w:highlight w:val="none"/>
        </w:rPr>
        <w:t>.3</w:t>
      </w:r>
      <w:r>
        <w:rPr>
          <w:rFonts w:hint="eastAsia"/>
          <w:color w:val="auto"/>
          <w:highlight w:val="none"/>
          <w:lang w:val="en-US"/>
        </w:rPr>
        <w:t>.</w:t>
      </w:r>
      <w:r>
        <w:rPr>
          <w:rFonts w:hint="eastAsia"/>
          <w:color w:val="auto"/>
          <w:highlight w:val="none"/>
        </w:rPr>
        <w:t>根据巡检结果，在巡检结束之日起的5天内向</w:t>
      </w:r>
      <w:r>
        <w:rPr>
          <w:rFonts w:hint="eastAsia"/>
          <w:color w:val="auto"/>
          <w:highlight w:val="none"/>
          <w:lang w:val="en-US"/>
        </w:rPr>
        <w:t>采购人</w:t>
      </w:r>
      <w:r>
        <w:rPr>
          <w:rFonts w:hint="eastAsia"/>
          <w:color w:val="auto"/>
          <w:highlight w:val="none"/>
        </w:rPr>
        <w:t>提交完整的巡检报告，并对巡检中发现的故障隐患提出改进方案，在改进方案中应明确整改时间计划，经</w:t>
      </w:r>
      <w:r>
        <w:rPr>
          <w:rFonts w:hint="eastAsia"/>
          <w:color w:val="auto"/>
          <w:highlight w:val="none"/>
          <w:lang w:val="en-US"/>
        </w:rPr>
        <w:t>采购人</w:t>
      </w:r>
      <w:r>
        <w:rPr>
          <w:rFonts w:hint="eastAsia"/>
          <w:color w:val="auto"/>
          <w:highlight w:val="none"/>
        </w:rPr>
        <w:t>确认后按计划完成整改。</w:t>
      </w:r>
    </w:p>
    <w:p>
      <w:pPr>
        <w:spacing w:line="360" w:lineRule="auto"/>
        <w:ind w:firstLine="660" w:firstLineChars="300"/>
        <w:rPr>
          <w:rFonts w:hint="eastAsia"/>
          <w:color w:val="auto"/>
          <w:highlight w:val="none"/>
        </w:rPr>
      </w:pPr>
      <w:r>
        <w:rPr>
          <w:rFonts w:hint="eastAsia"/>
          <w:color w:val="auto"/>
          <w:highlight w:val="none"/>
          <w:lang w:val="en-US"/>
        </w:rPr>
        <w:t>10</w:t>
      </w:r>
      <w:r>
        <w:rPr>
          <w:rFonts w:hint="eastAsia"/>
          <w:color w:val="auto"/>
          <w:highlight w:val="none"/>
        </w:rPr>
        <w:t>.4</w:t>
      </w:r>
      <w:r>
        <w:rPr>
          <w:rFonts w:hint="eastAsia"/>
          <w:color w:val="auto"/>
          <w:highlight w:val="none"/>
          <w:lang w:val="en-US"/>
        </w:rPr>
        <w:t>.</w:t>
      </w:r>
      <w:r>
        <w:rPr>
          <w:rFonts w:hint="eastAsia"/>
          <w:color w:val="auto"/>
          <w:highlight w:val="none"/>
        </w:rPr>
        <w:t>每月最后一周</w:t>
      </w:r>
      <w:r>
        <w:rPr>
          <w:rFonts w:hint="eastAsia"/>
          <w:color w:val="auto"/>
          <w:highlight w:val="none"/>
          <w:lang w:val="en-US"/>
        </w:rPr>
        <w:t>需</w:t>
      </w:r>
      <w:r>
        <w:rPr>
          <w:rFonts w:hint="eastAsia"/>
          <w:color w:val="auto"/>
          <w:highlight w:val="none"/>
        </w:rPr>
        <w:t>对</w:t>
      </w:r>
      <w:r>
        <w:rPr>
          <w:rFonts w:hint="eastAsia"/>
          <w:color w:val="auto"/>
          <w:highlight w:val="none"/>
          <w:lang w:val="en-US"/>
        </w:rPr>
        <w:t>采购人</w:t>
      </w:r>
      <w:r>
        <w:rPr>
          <w:rFonts w:hint="eastAsia"/>
          <w:color w:val="auto"/>
          <w:highlight w:val="none"/>
        </w:rPr>
        <w:t>打印设备进行巡检，巡检设备情况列表由临床科室签字确认。</w:t>
      </w:r>
    </w:p>
    <w:p>
      <w:pPr>
        <w:spacing w:line="360" w:lineRule="auto"/>
        <w:ind w:firstLine="440" w:firstLineChars="200"/>
        <w:rPr>
          <w:rFonts w:hint="eastAsia"/>
          <w:color w:val="auto"/>
          <w:highlight w:val="none"/>
        </w:rPr>
      </w:pPr>
      <w:r>
        <w:rPr>
          <w:rFonts w:hint="eastAsia"/>
          <w:color w:val="auto"/>
          <w:highlight w:val="none"/>
          <w:lang w:val="en-US"/>
        </w:rPr>
        <w:t>11.</w:t>
      </w:r>
      <w:r>
        <w:rPr>
          <w:rFonts w:hint="eastAsia"/>
          <w:bCs/>
          <w:color w:val="auto"/>
          <w:highlight w:val="none"/>
        </w:rPr>
        <w:t>保障措施</w:t>
      </w:r>
    </w:p>
    <w:p>
      <w:pPr>
        <w:spacing w:line="360" w:lineRule="auto"/>
        <w:ind w:firstLine="660" w:firstLineChars="300"/>
        <w:outlineLvl w:val="0"/>
        <w:rPr>
          <w:rFonts w:hint="eastAsia"/>
          <w:color w:val="auto"/>
          <w:highlight w:val="none"/>
        </w:rPr>
      </w:pPr>
      <w:r>
        <w:rPr>
          <w:rFonts w:hint="eastAsia"/>
          <w:color w:val="auto"/>
          <w:highlight w:val="none"/>
          <w:lang w:val="en-US"/>
        </w:rPr>
        <w:t>11</w:t>
      </w:r>
      <w:r>
        <w:rPr>
          <w:rFonts w:hint="eastAsia"/>
          <w:color w:val="auto"/>
          <w:highlight w:val="none"/>
        </w:rPr>
        <w:t>.1</w:t>
      </w:r>
      <w:r>
        <w:rPr>
          <w:rFonts w:hint="eastAsia"/>
          <w:color w:val="auto"/>
          <w:highlight w:val="none"/>
          <w:lang w:val="en-US"/>
        </w:rPr>
        <w:t>.</w:t>
      </w:r>
      <w:r>
        <w:rPr>
          <w:rFonts w:hint="eastAsia"/>
          <w:bCs/>
          <w:color w:val="auto"/>
          <w:highlight w:val="none"/>
        </w:rPr>
        <w:t>充足备品备件</w:t>
      </w:r>
    </w:p>
    <w:p>
      <w:pPr>
        <w:spacing w:line="360" w:lineRule="auto"/>
        <w:ind w:firstLine="440" w:firstLineChars="200"/>
        <w:rPr>
          <w:rFonts w:hint="eastAsia"/>
          <w:color w:val="auto"/>
          <w:highlight w:val="none"/>
        </w:rPr>
      </w:pPr>
      <w:r>
        <w:rPr>
          <w:rFonts w:hint="eastAsia"/>
          <w:color w:val="auto"/>
          <w:highlight w:val="none"/>
        </w:rPr>
        <w:t>要求备有符合</w:t>
      </w:r>
      <w:r>
        <w:rPr>
          <w:rFonts w:hint="eastAsia"/>
          <w:color w:val="auto"/>
          <w:highlight w:val="none"/>
          <w:lang w:val="en-US"/>
        </w:rPr>
        <w:t>采购人</w:t>
      </w:r>
      <w:r>
        <w:rPr>
          <w:rFonts w:hint="eastAsia"/>
          <w:color w:val="auto"/>
          <w:highlight w:val="none"/>
        </w:rPr>
        <w:t>使用的常用设备的备品备件，解决设备故障时可在最短时间内使用备品备件应急替换。同时，针对本项目的实际情况，</w:t>
      </w:r>
      <w:r>
        <w:rPr>
          <w:rFonts w:hint="eastAsia"/>
          <w:color w:val="auto"/>
          <w:highlight w:val="none"/>
          <w:lang w:val="en-US"/>
        </w:rPr>
        <w:t>成交人</w:t>
      </w:r>
      <w:r>
        <w:rPr>
          <w:rFonts w:hint="eastAsia"/>
          <w:color w:val="auto"/>
          <w:highlight w:val="none"/>
        </w:rPr>
        <w:t>应提供一定数量的备用设备存放在</w:t>
      </w:r>
      <w:r>
        <w:rPr>
          <w:rFonts w:hint="eastAsia"/>
          <w:color w:val="auto"/>
          <w:highlight w:val="none"/>
          <w:lang w:val="en-US"/>
        </w:rPr>
        <w:t>采购人单位</w:t>
      </w:r>
      <w:r>
        <w:rPr>
          <w:rFonts w:hint="eastAsia"/>
          <w:color w:val="auto"/>
          <w:highlight w:val="none"/>
        </w:rPr>
        <w:t>，方便在出现紧急故障时进行及时有效的处理,本</w:t>
      </w:r>
      <w:r>
        <w:rPr>
          <w:rFonts w:hint="eastAsia"/>
          <w:color w:val="auto"/>
          <w:highlight w:val="none"/>
          <w:lang w:val="en-US"/>
        </w:rPr>
        <w:t>项目</w:t>
      </w:r>
      <w:r>
        <w:rPr>
          <w:rFonts w:hint="eastAsia"/>
          <w:color w:val="auto"/>
          <w:highlight w:val="none"/>
        </w:rPr>
        <w:t>需要提供的备用设备为：触摸查询一体机1台、交换机（H3C S5500V3-54PS-SI）1台、电脑工作站10套、条码打印机8台、激光打印8台、喷墨打印机2台、</w:t>
      </w:r>
      <w:r>
        <w:rPr>
          <w:rFonts w:hint="eastAsia"/>
          <w:color w:val="auto"/>
          <w:highlight w:val="none"/>
          <w:lang w:val="en-US" w:eastAsia="zh-CN"/>
        </w:rPr>
        <w:t>立式复印打印扫描一体机1台、</w:t>
      </w:r>
      <w:r>
        <w:rPr>
          <w:rFonts w:hint="eastAsia"/>
          <w:color w:val="auto"/>
          <w:highlight w:val="none"/>
        </w:rPr>
        <w:t>热熔机1台、工具箱（含各类网线测线仪）</w:t>
      </w:r>
      <w:r>
        <w:rPr>
          <w:rFonts w:hint="eastAsia"/>
          <w:color w:val="auto"/>
          <w:highlight w:val="none"/>
          <w:lang w:val="en-US" w:eastAsia="zh-CN"/>
        </w:rPr>
        <w:t>2</w:t>
      </w:r>
      <w:r>
        <w:rPr>
          <w:rFonts w:hint="eastAsia"/>
          <w:color w:val="auto"/>
          <w:highlight w:val="none"/>
        </w:rPr>
        <w:t>套、OTDR光纤测试仪2台、光源光功率计</w:t>
      </w:r>
      <w:r>
        <w:rPr>
          <w:rFonts w:hint="eastAsia"/>
          <w:color w:val="auto"/>
          <w:highlight w:val="none"/>
          <w:lang w:val="en-US" w:eastAsia="zh-CN"/>
        </w:rPr>
        <w:t>2</w:t>
      </w:r>
      <w:r>
        <w:rPr>
          <w:rFonts w:hint="eastAsia"/>
          <w:color w:val="auto"/>
          <w:highlight w:val="none"/>
        </w:rPr>
        <w:t>台、2M误码仪</w:t>
      </w:r>
      <w:r>
        <w:rPr>
          <w:rFonts w:hint="eastAsia"/>
          <w:color w:val="auto"/>
          <w:highlight w:val="none"/>
          <w:lang w:val="en-US" w:eastAsia="zh-CN"/>
        </w:rPr>
        <w:t>2</w:t>
      </w:r>
      <w:r>
        <w:rPr>
          <w:rFonts w:hint="eastAsia"/>
          <w:color w:val="auto"/>
          <w:highlight w:val="none"/>
        </w:rPr>
        <w:t>台、红光笔</w:t>
      </w:r>
      <w:r>
        <w:rPr>
          <w:rFonts w:hint="eastAsia"/>
          <w:color w:val="auto"/>
          <w:highlight w:val="none"/>
          <w:lang w:val="en-US" w:eastAsia="zh-CN"/>
        </w:rPr>
        <w:t>2</w:t>
      </w:r>
      <w:r>
        <w:rPr>
          <w:rFonts w:hint="eastAsia"/>
          <w:color w:val="auto"/>
          <w:highlight w:val="none"/>
        </w:rPr>
        <w:t>支、网线钳</w:t>
      </w:r>
      <w:r>
        <w:rPr>
          <w:rFonts w:hint="eastAsia"/>
          <w:color w:val="auto"/>
          <w:highlight w:val="none"/>
          <w:lang w:val="en-US" w:eastAsia="zh-CN"/>
        </w:rPr>
        <w:t>2</w:t>
      </w:r>
      <w:r>
        <w:rPr>
          <w:rFonts w:hint="eastAsia"/>
          <w:color w:val="auto"/>
          <w:highlight w:val="none"/>
        </w:rPr>
        <w:t>个、1TB移动硬盘2个等，备用设备需放置在</w:t>
      </w:r>
      <w:r>
        <w:rPr>
          <w:rFonts w:hint="eastAsia"/>
          <w:color w:val="auto"/>
          <w:highlight w:val="none"/>
          <w:lang w:val="en-US"/>
        </w:rPr>
        <w:t>采购人</w:t>
      </w:r>
      <w:r>
        <w:rPr>
          <w:rFonts w:hint="eastAsia"/>
          <w:color w:val="auto"/>
          <w:highlight w:val="none"/>
        </w:rPr>
        <w:t>指定位置，并根据医院终端设备实际运行情况而调整备用设备数量及型号，维护期满后备品备件归还</w:t>
      </w:r>
      <w:r>
        <w:rPr>
          <w:rFonts w:hint="eastAsia"/>
          <w:color w:val="auto"/>
          <w:highlight w:val="none"/>
          <w:lang w:val="en-US"/>
        </w:rPr>
        <w:t>成交人</w:t>
      </w:r>
      <w:r>
        <w:rPr>
          <w:rFonts w:hint="eastAsia"/>
          <w:color w:val="auto"/>
          <w:highlight w:val="none"/>
        </w:rPr>
        <w:t>。</w:t>
      </w:r>
    </w:p>
    <w:p>
      <w:pPr>
        <w:spacing w:line="360" w:lineRule="auto"/>
        <w:ind w:firstLine="440" w:firstLineChars="200"/>
        <w:rPr>
          <w:rFonts w:hint="eastAsia"/>
          <w:color w:val="auto"/>
          <w:highlight w:val="none"/>
        </w:rPr>
      </w:pPr>
      <w:r>
        <w:rPr>
          <w:rFonts w:hint="eastAsia"/>
          <w:color w:val="auto"/>
          <w:highlight w:val="none"/>
        </w:rPr>
        <w:t>此外，固态硬盘、光驱、内存条、网卡、打印头、网线、硬盘线、数据线、电话线、水晶头、摄像机、电源线、保险丝等常用配件</w:t>
      </w:r>
      <w:r>
        <w:rPr>
          <w:rFonts w:hint="eastAsia"/>
          <w:color w:val="auto"/>
          <w:highlight w:val="none"/>
          <w:lang w:val="en-US"/>
        </w:rPr>
        <w:t>成交人</w:t>
      </w:r>
      <w:r>
        <w:rPr>
          <w:rFonts w:hint="eastAsia"/>
          <w:color w:val="auto"/>
          <w:highlight w:val="none"/>
        </w:rPr>
        <w:t>应提供充足的备件</w:t>
      </w:r>
      <w:r>
        <w:rPr>
          <w:rFonts w:hint="eastAsia"/>
          <w:color w:val="auto"/>
          <w:highlight w:val="none"/>
          <w:lang w:val="en-US"/>
        </w:rPr>
        <w:t>,若计算机现有硬盘发生故障无法修复或性能下降无法满足采购人工作人员日常办公需要时，成交人需免费更换固态硬盘</w:t>
      </w:r>
      <w:r>
        <w:rPr>
          <w:rFonts w:hint="eastAsia"/>
          <w:color w:val="auto"/>
          <w:highlight w:val="none"/>
        </w:rPr>
        <w:t xml:space="preserve">。 </w:t>
      </w:r>
    </w:p>
    <w:p>
      <w:pPr>
        <w:spacing w:line="360" w:lineRule="auto"/>
        <w:ind w:firstLine="440" w:firstLineChars="200"/>
        <w:rPr>
          <w:rFonts w:hint="eastAsia"/>
          <w:b/>
          <w:bCs/>
          <w:color w:val="auto"/>
          <w:highlight w:val="none"/>
        </w:rPr>
      </w:pPr>
      <w:r>
        <w:rPr>
          <w:rFonts w:hint="eastAsia"/>
          <w:color w:val="auto"/>
          <w:highlight w:val="none"/>
        </w:rPr>
        <w:t>设备因配件年久老化，无法进行维修使用的情况下，按规定上报</w:t>
      </w:r>
      <w:r>
        <w:rPr>
          <w:rFonts w:hint="eastAsia"/>
          <w:color w:val="auto"/>
          <w:highlight w:val="none"/>
          <w:lang w:val="en-US"/>
        </w:rPr>
        <w:t>采购人</w:t>
      </w:r>
      <w:r>
        <w:rPr>
          <w:rFonts w:hint="eastAsia"/>
          <w:color w:val="auto"/>
          <w:highlight w:val="none"/>
        </w:rPr>
        <w:t>，</w:t>
      </w:r>
      <w:r>
        <w:rPr>
          <w:rFonts w:hint="eastAsia"/>
          <w:color w:val="auto"/>
          <w:highlight w:val="none"/>
          <w:lang w:val="en-US"/>
        </w:rPr>
        <w:t>采购人</w:t>
      </w:r>
      <w:r>
        <w:rPr>
          <w:rFonts w:hint="eastAsia"/>
          <w:color w:val="auto"/>
          <w:highlight w:val="none"/>
        </w:rPr>
        <w:t>对设备进行确认无法修复后作报废处理，再由</w:t>
      </w:r>
      <w:r>
        <w:rPr>
          <w:rFonts w:hint="eastAsia"/>
          <w:color w:val="auto"/>
          <w:highlight w:val="none"/>
          <w:lang w:val="en-US"/>
        </w:rPr>
        <w:t>采购人</w:t>
      </w:r>
      <w:r>
        <w:rPr>
          <w:rFonts w:hint="eastAsia"/>
          <w:color w:val="auto"/>
          <w:highlight w:val="none"/>
        </w:rPr>
        <w:t>酌情进行更换。</w:t>
      </w:r>
    </w:p>
    <w:p>
      <w:pPr>
        <w:spacing w:line="360" w:lineRule="auto"/>
        <w:ind w:firstLine="660" w:firstLineChars="300"/>
        <w:outlineLvl w:val="0"/>
        <w:rPr>
          <w:rFonts w:hint="eastAsia"/>
          <w:bCs/>
          <w:color w:val="auto"/>
          <w:highlight w:val="none"/>
        </w:rPr>
      </w:pPr>
      <w:r>
        <w:rPr>
          <w:rFonts w:hint="eastAsia"/>
          <w:bCs/>
          <w:color w:val="auto"/>
          <w:highlight w:val="none"/>
          <w:lang w:val="en-US"/>
        </w:rPr>
        <w:t>11</w:t>
      </w:r>
      <w:r>
        <w:rPr>
          <w:rFonts w:hint="eastAsia"/>
          <w:bCs/>
          <w:color w:val="auto"/>
          <w:highlight w:val="none"/>
        </w:rPr>
        <w:t>.2</w:t>
      </w:r>
      <w:r>
        <w:rPr>
          <w:rFonts w:hint="eastAsia"/>
          <w:bCs/>
          <w:color w:val="auto"/>
          <w:highlight w:val="none"/>
          <w:lang w:val="en-US"/>
        </w:rPr>
        <w:t>.</w:t>
      </w:r>
      <w:r>
        <w:rPr>
          <w:rFonts w:hint="eastAsia"/>
          <w:bCs/>
          <w:color w:val="auto"/>
          <w:highlight w:val="none"/>
        </w:rPr>
        <w:t>现场巡检保养服务</w:t>
      </w:r>
    </w:p>
    <w:p>
      <w:pPr>
        <w:spacing w:line="360" w:lineRule="auto"/>
        <w:ind w:firstLine="440" w:firstLineChars="200"/>
        <w:rPr>
          <w:rFonts w:hint="eastAsia"/>
          <w:color w:val="auto"/>
          <w:highlight w:val="none"/>
        </w:rPr>
      </w:pPr>
      <w:r>
        <w:rPr>
          <w:rFonts w:hint="eastAsia"/>
          <w:color w:val="auto"/>
          <w:highlight w:val="none"/>
        </w:rPr>
        <w:t>为能更及时</w:t>
      </w:r>
      <w:r>
        <w:rPr>
          <w:rFonts w:hint="eastAsia"/>
          <w:color w:val="auto"/>
          <w:highlight w:val="none"/>
          <w:lang w:val="en-US"/>
        </w:rPr>
        <w:t>详细</w:t>
      </w:r>
      <w:r>
        <w:rPr>
          <w:rFonts w:hint="eastAsia"/>
          <w:color w:val="auto"/>
          <w:highlight w:val="none"/>
        </w:rPr>
        <w:t>地</w:t>
      </w:r>
      <w:r>
        <w:rPr>
          <w:rFonts w:hint="eastAsia"/>
          <w:color w:val="auto"/>
          <w:highlight w:val="none"/>
          <w:lang w:val="en-US"/>
        </w:rPr>
        <w:t>了解</w:t>
      </w:r>
      <w:r>
        <w:rPr>
          <w:rFonts w:hint="eastAsia"/>
          <w:color w:val="auto"/>
          <w:highlight w:val="none"/>
        </w:rPr>
        <w:t>终端设备运行情况，</w:t>
      </w:r>
      <w:r>
        <w:rPr>
          <w:rFonts w:hint="eastAsia"/>
          <w:color w:val="auto"/>
          <w:highlight w:val="none"/>
          <w:lang w:val="en-US"/>
        </w:rPr>
        <w:t>成交人</w:t>
      </w:r>
      <w:r>
        <w:rPr>
          <w:rFonts w:hint="eastAsia"/>
          <w:color w:val="auto"/>
          <w:highlight w:val="none"/>
        </w:rPr>
        <w:t>驻场人员应在日常工作过程中随时对设备进行现场巡检，了解设备的运行状况，并及时解决问题。同时，还可根据使用者的需要，及时提出对应的优化建议与措施，更高效地满足使用者需求。通过日常的巡检工作，可</w:t>
      </w:r>
      <w:r>
        <w:rPr>
          <w:rFonts w:hint="eastAsia"/>
          <w:color w:val="auto"/>
          <w:highlight w:val="none"/>
          <w:lang w:val="en-US"/>
        </w:rPr>
        <w:t>对</w:t>
      </w:r>
      <w:r>
        <w:rPr>
          <w:rFonts w:hint="eastAsia"/>
          <w:color w:val="auto"/>
          <w:highlight w:val="none"/>
        </w:rPr>
        <w:t>系统进行预防性维护，包括检查系统状态、设备清洁、系统备份等。</w:t>
      </w:r>
    </w:p>
    <w:p>
      <w:pPr>
        <w:spacing w:line="360" w:lineRule="auto"/>
        <w:rPr>
          <w:rFonts w:hint="eastAsia"/>
          <w:color w:val="auto"/>
          <w:highlight w:val="none"/>
        </w:rPr>
      </w:pPr>
      <w:r>
        <w:rPr>
          <w:rFonts w:hint="eastAsia"/>
          <w:color w:val="auto"/>
          <w:highlight w:val="none"/>
        </w:rPr>
        <w:t>巡检工作主要包括：</w:t>
      </w:r>
    </w:p>
    <w:p>
      <w:pPr>
        <w:numPr>
          <w:ilvl w:val="0"/>
          <w:numId w:val="3"/>
        </w:numPr>
        <w:spacing w:line="360" w:lineRule="auto"/>
        <w:rPr>
          <w:rFonts w:hint="eastAsia"/>
          <w:color w:val="auto"/>
          <w:highlight w:val="none"/>
        </w:rPr>
      </w:pPr>
      <w:r>
        <w:rPr>
          <w:rFonts w:hint="eastAsia"/>
          <w:color w:val="auto"/>
          <w:highlight w:val="none"/>
          <w:lang w:val="en-US"/>
        </w:rPr>
        <w:t>对</w:t>
      </w:r>
      <w:r>
        <w:rPr>
          <w:rFonts w:hint="eastAsia"/>
          <w:color w:val="auto"/>
          <w:highlight w:val="none"/>
        </w:rPr>
        <w:t>计算机主机系统的运行状态，对系统CPU、内存、I/O状态、进程等</w:t>
      </w:r>
      <w:r>
        <w:rPr>
          <w:rFonts w:hint="eastAsia"/>
          <w:color w:val="auto"/>
          <w:highlight w:val="none"/>
          <w:lang w:val="en-US"/>
        </w:rPr>
        <w:t>进行</w:t>
      </w:r>
      <w:r>
        <w:rPr>
          <w:rFonts w:hint="eastAsia"/>
          <w:color w:val="auto"/>
          <w:highlight w:val="none"/>
        </w:rPr>
        <w:t>检查；</w:t>
      </w:r>
    </w:p>
    <w:p>
      <w:pPr>
        <w:numPr>
          <w:ilvl w:val="0"/>
          <w:numId w:val="3"/>
        </w:numPr>
        <w:spacing w:line="360" w:lineRule="auto"/>
        <w:rPr>
          <w:rFonts w:hint="eastAsia"/>
          <w:color w:val="auto"/>
          <w:highlight w:val="none"/>
        </w:rPr>
      </w:pPr>
      <w:r>
        <w:rPr>
          <w:rFonts w:hint="eastAsia"/>
          <w:color w:val="auto"/>
          <w:highlight w:val="none"/>
        </w:rPr>
        <w:t>外部设备运行状态，对磁盘阵列、磁带机、外置光驱、维护终端等的状态、设置进行检查；对风扇、后备电池、磁盘、磁带、键盘等敏感部件进行重点检查，如有故障征兆则</w:t>
      </w:r>
      <w:r>
        <w:rPr>
          <w:rFonts w:hint="eastAsia"/>
          <w:color w:val="auto"/>
          <w:highlight w:val="none"/>
          <w:lang w:val="en-US"/>
        </w:rPr>
        <w:t>可提前</w:t>
      </w:r>
      <w:r>
        <w:rPr>
          <w:rFonts w:hint="eastAsia"/>
          <w:color w:val="auto"/>
          <w:highlight w:val="none"/>
        </w:rPr>
        <w:t>进行更换；</w:t>
      </w:r>
    </w:p>
    <w:p>
      <w:pPr>
        <w:numPr>
          <w:ilvl w:val="0"/>
          <w:numId w:val="3"/>
        </w:numPr>
        <w:spacing w:line="360" w:lineRule="auto"/>
        <w:rPr>
          <w:rFonts w:hint="eastAsia"/>
          <w:color w:val="auto"/>
          <w:highlight w:val="none"/>
        </w:rPr>
      </w:pPr>
      <w:r>
        <w:rPr>
          <w:rFonts w:hint="eastAsia"/>
          <w:color w:val="auto"/>
          <w:highlight w:val="none"/>
        </w:rPr>
        <w:t>连接件检查，对连接插头、电缆、电源插座等进行检查；</w:t>
      </w:r>
    </w:p>
    <w:p>
      <w:pPr>
        <w:numPr>
          <w:ilvl w:val="0"/>
          <w:numId w:val="3"/>
        </w:numPr>
        <w:spacing w:line="360" w:lineRule="auto"/>
        <w:rPr>
          <w:rFonts w:hint="eastAsia"/>
          <w:color w:val="auto"/>
          <w:highlight w:val="none"/>
        </w:rPr>
      </w:pPr>
      <w:r>
        <w:rPr>
          <w:rFonts w:hint="eastAsia"/>
          <w:color w:val="auto"/>
          <w:highlight w:val="none"/>
        </w:rPr>
        <w:t>新布线的信息点与电脑连接，或因工作需要迁移、重新调配电脑设备，按</w:t>
      </w:r>
      <w:r>
        <w:rPr>
          <w:rFonts w:hint="eastAsia"/>
          <w:color w:val="auto"/>
          <w:highlight w:val="none"/>
          <w:lang w:val="en-US"/>
        </w:rPr>
        <w:t>采购人</w:t>
      </w:r>
      <w:r>
        <w:rPr>
          <w:rFonts w:hint="eastAsia"/>
          <w:color w:val="auto"/>
          <w:highlight w:val="none"/>
        </w:rPr>
        <w:t>信息中心要求设置指定的IP地址，记录主机MAC地址及物理位置；</w:t>
      </w:r>
    </w:p>
    <w:p>
      <w:pPr>
        <w:numPr>
          <w:ilvl w:val="0"/>
          <w:numId w:val="3"/>
        </w:numPr>
        <w:spacing w:line="360" w:lineRule="auto"/>
        <w:rPr>
          <w:rFonts w:hint="eastAsia"/>
          <w:color w:val="auto"/>
          <w:highlight w:val="none"/>
        </w:rPr>
      </w:pPr>
      <w:r>
        <w:rPr>
          <w:rFonts w:hint="eastAsia"/>
          <w:color w:val="auto"/>
          <w:highlight w:val="none"/>
        </w:rPr>
        <w:t>系统优化，协助客户对OS进行系统性能调整和系统优化，提高系统效率；进行相关的安全性进程检查；</w:t>
      </w:r>
    </w:p>
    <w:p>
      <w:pPr>
        <w:numPr>
          <w:ilvl w:val="0"/>
          <w:numId w:val="3"/>
        </w:numPr>
        <w:spacing w:line="360" w:lineRule="auto"/>
        <w:rPr>
          <w:rFonts w:hint="eastAsia"/>
          <w:color w:val="auto"/>
          <w:highlight w:val="none"/>
        </w:rPr>
      </w:pPr>
      <w:r>
        <w:rPr>
          <w:rFonts w:hint="eastAsia"/>
          <w:color w:val="auto"/>
          <w:highlight w:val="none"/>
        </w:rPr>
        <w:t>网线（电脑与信息点连接段）、打印机线、打印机断针、耗材（色带、墨盒、硒鼓）更换、鼠标及键盘等不能正常使用时及时更换等；</w:t>
      </w:r>
    </w:p>
    <w:p>
      <w:pPr>
        <w:numPr>
          <w:ilvl w:val="0"/>
          <w:numId w:val="3"/>
        </w:numPr>
        <w:spacing w:line="360" w:lineRule="auto"/>
        <w:rPr>
          <w:rFonts w:hint="eastAsia"/>
          <w:color w:val="auto"/>
          <w:highlight w:val="none"/>
        </w:rPr>
      </w:pPr>
      <w:r>
        <w:rPr>
          <w:rFonts w:hint="eastAsia"/>
          <w:color w:val="auto"/>
          <w:highlight w:val="none"/>
        </w:rPr>
        <w:t>打印机和其他设备故障的检测及排除；</w:t>
      </w:r>
    </w:p>
    <w:p>
      <w:pPr>
        <w:numPr>
          <w:ilvl w:val="0"/>
          <w:numId w:val="3"/>
        </w:numPr>
        <w:spacing w:line="360" w:lineRule="auto"/>
        <w:rPr>
          <w:rFonts w:hint="eastAsia"/>
          <w:color w:val="auto"/>
          <w:highlight w:val="none"/>
        </w:rPr>
      </w:pPr>
      <w:r>
        <w:rPr>
          <w:rFonts w:hint="eastAsia"/>
          <w:color w:val="auto"/>
          <w:highlight w:val="none"/>
        </w:rPr>
        <w:t>协助使用者实现共享打印机，</w:t>
      </w:r>
      <w:r>
        <w:rPr>
          <w:rFonts w:hint="eastAsia"/>
          <w:color w:val="auto"/>
          <w:highlight w:val="none"/>
          <w:lang w:val="en-US"/>
        </w:rPr>
        <w:t>普及</w:t>
      </w:r>
      <w:r>
        <w:rPr>
          <w:rFonts w:hint="eastAsia"/>
          <w:color w:val="auto"/>
          <w:highlight w:val="none"/>
        </w:rPr>
        <w:t>常用办公软件的使用技巧等；</w:t>
      </w:r>
    </w:p>
    <w:p>
      <w:pPr>
        <w:numPr>
          <w:ilvl w:val="0"/>
          <w:numId w:val="3"/>
        </w:numPr>
        <w:spacing w:line="360" w:lineRule="auto"/>
        <w:rPr>
          <w:rFonts w:hint="eastAsia"/>
          <w:color w:val="auto"/>
          <w:highlight w:val="none"/>
        </w:rPr>
      </w:pPr>
      <w:r>
        <w:rPr>
          <w:rFonts w:hint="eastAsia"/>
          <w:color w:val="auto"/>
          <w:highlight w:val="none"/>
        </w:rPr>
        <w:t>远程技术支持服务</w:t>
      </w:r>
    </w:p>
    <w:p>
      <w:pPr>
        <w:spacing w:line="360" w:lineRule="auto"/>
        <w:ind w:firstLine="440" w:firstLineChars="200"/>
        <w:rPr>
          <w:rFonts w:hint="eastAsia"/>
          <w:color w:val="auto"/>
          <w:highlight w:val="none"/>
        </w:rPr>
      </w:pPr>
      <w:r>
        <w:rPr>
          <w:rFonts w:hint="eastAsia"/>
          <w:color w:val="auto"/>
          <w:highlight w:val="none"/>
        </w:rPr>
        <w:t>要求设有客户服务热线，提供全天候无间断的产品技术咨询、故障申报、硬件维修、培训需求受理、以及服务政策咨询等服务内容。可提供服务内容：</w:t>
      </w:r>
    </w:p>
    <w:p>
      <w:pPr>
        <w:spacing w:line="360" w:lineRule="auto"/>
        <w:ind w:firstLine="400"/>
        <w:rPr>
          <w:rFonts w:hint="eastAsia"/>
          <w:color w:val="auto"/>
          <w:highlight w:val="none"/>
        </w:rPr>
      </w:pPr>
      <w:r>
        <w:rPr>
          <w:rFonts w:hint="eastAsia"/>
          <w:color w:val="auto"/>
          <w:highlight w:val="none"/>
        </w:rPr>
        <w:t>①售后技术咨询、故障申报、远程故障受理；</w:t>
      </w:r>
    </w:p>
    <w:p>
      <w:pPr>
        <w:spacing w:line="360" w:lineRule="auto"/>
        <w:ind w:firstLine="400"/>
        <w:rPr>
          <w:rFonts w:hint="eastAsia"/>
          <w:color w:val="auto"/>
          <w:highlight w:val="none"/>
        </w:rPr>
      </w:pPr>
      <w:r>
        <w:rPr>
          <w:rFonts w:hint="eastAsia"/>
          <w:color w:val="auto"/>
          <w:highlight w:val="none"/>
        </w:rPr>
        <w:t>②产品技术咨询、设备硬件更换/维修、培训请求；</w:t>
      </w:r>
    </w:p>
    <w:p>
      <w:pPr>
        <w:spacing w:line="360" w:lineRule="auto"/>
        <w:ind w:firstLine="400"/>
        <w:rPr>
          <w:rFonts w:hint="eastAsia"/>
          <w:color w:val="auto"/>
          <w:highlight w:val="none"/>
        </w:rPr>
      </w:pPr>
      <w:r>
        <w:rPr>
          <w:rFonts w:hint="eastAsia"/>
          <w:color w:val="auto"/>
          <w:highlight w:val="none"/>
        </w:rPr>
        <w:t>③服务产品咨询以及服务投诉与建议；</w:t>
      </w:r>
    </w:p>
    <w:p>
      <w:pPr>
        <w:spacing w:line="360" w:lineRule="auto"/>
        <w:ind w:firstLine="400"/>
        <w:rPr>
          <w:rFonts w:hint="eastAsia"/>
          <w:color w:val="auto"/>
          <w:highlight w:val="none"/>
        </w:rPr>
      </w:pPr>
      <w:r>
        <w:rPr>
          <w:rFonts w:hint="eastAsia"/>
          <w:color w:val="auto"/>
          <w:highlight w:val="none"/>
        </w:rPr>
        <w:t>④最新版本获取、产品配套的用户配置手册；</w:t>
      </w:r>
    </w:p>
    <w:p>
      <w:pPr>
        <w:spacing w:line="360" w:lineRule="auto"/>
        <w:ind w:firstLine="400"/>
        <w:rPr>
          <w:rFonts w:hint="eastAsia"/>
          <w:color w:val="auto"/>
          <w:highlight w:val="none"/>
        </w:rPr>
      </w:pPr>
      <w:r>
        <w:rPr>
          <w:rFonts w:hint="eastAsia"/>
          <w:color w:val="auto"/>
          <w:highlight w:val="none"/>
        </w:rPr>
        <w:t>⑤在线技术支持、在线咨询答疑。</w:t>
      </w:r>
    </w:p>
    <w:p>
      <w:pPr>
        <w:spacing w:line="360" w:lineRule="auto"/>
        <w:ind w:firstLine="660" w:firstLineChars="300"/>
        <w:outlineLvl w:val="0"/>
        <w:rPr>
          <w:rFonts w:hint="eastAsia"/>
          <w:color w:val="auto"/>
          <w:highlight w:val="none"/>
        </w:rPr>
      </w:pPr>
      <w:r>
        <w:rPr>
          <w:rFonts w:hint="eastAsia"/>
          <w:bCs/>
          <w:color w:val="auto"/>
          <w:highlight w:val="none"/>
          <w:lang w:val="en-US"/>
        </w:rPr>
        <w:t>11</w:t>
      </w:r>
      <w:r>
        <w:rPr>
          <w:rFonts w:hint="eastAsia"/>
          <w:color w:val="auto"/>
          <w:highlight w:val="none"/>
        </w:rPr>
        <w:t>.3</w:t>
      </w:r>
      <w:r>
        <w:rPr>
          <w:rFonts w:hint="eastAsia"/>
          <w:color w:val="auto"/>
          <w:highlight w:val="none"/>
          <w:lang w:val="en-US"/>
        </w:rPr>
        <w:t>.</w:t>
      </w:r>
      <w:r>
        <w:rPr>
          <w:rFonts w:hint="eastAsia"/>
          <w:bCs/>
          <w:color w:val="auto"/>
          <w:highlight w:val="none"/>
        </w:rPr>
        <w:t>服务响应时间</w:t>
      </w:r>
    </w:p>
    <w:p>
      <w:pPr>
        <w:spacing w:line="360" w:lineRule="auto"/>
        <w:ind w:firstLine="220" w:firstLineChars="100"/>
        <w:outlineLvl w:val="1"/>
        <w:rPr>
          <w:rFonts w:hint="eastAsia"/>
          <w:color w:val="auto"/>
          <w:highlight w:val="none"/>
        </w:rPr>
      </w:pPr>
      <w:r>
        <w:rPr>
          <w:rFonts w:hint="eastAsia"/>
          <w:color w:val="auto"/>
          <w:highlight w:val="none"/>
        </w:rPr>
        <w:t>（1）30分钟响应方式</w:t>
      </w:r>
    </w:p>
    <w:p>
      <w:pPr>
        <w:spacing w:line="360" w:lineRule="auto"/>
        <w:ind w:firstLine="440" w:firstLineChars="200"/>
        <w:rPr>
          <w:rFonts w:hint="eastAsia"/>
          <w:color w:val="auto"/>
          <w:highlight w:val="none"/>
        </w:rPr>
      </w:pPr>
      <w:r>
        <w:rPr>
          <w:rFonts w:hint="eastAsia"/>
          <w:color w:val="auto"/>
          <w:highlight w:val="none"/>
        </w:rPr>
        <w:t>在接到</w:t>
      </w:r>
      <w:r>
        <w:rPr>
          <w:rFonts w:hint="eastAsia"/>
          <w:bCs/>
          <w:color w:val="auto"/>
          <w:kern w:val="28"/>
          <w:highlight w:val="none"/>
        </w:rPr>
        <w:t>维护服务信息后，</w:t>
      </w:r>
      <w:r>
        <w:rPr>
          <w:rFonts w:hint="eastAsia"/>
          <w:color w:val="auto"/>
          <w:highlight w:val="none"/>
        </w:rPr>
        <w:t>30分钟</w:t>
      </w:r>
      <w:r>
        <w:rPr>
          <w:rFonts w:hint="eastAsia"/>
          <w:bCs/>
          <w:color w:val="auto"/>
          <w:kern w:val="28"/>
          <w:highlight w:val="none"/>
        </w:rPr>
        <w:t>内安排驻</w:t>
      </w:r>
      <w:r>
        <w:rPr>
          <w:rFonts w:hint="eastAsia"/>
          <w:bCs/>
          <w:color w:val="auto"/>
          <w:kern w:val="28"/>
          <w:highlight w:val="none"/>
          <w:lang w:val="en-US"/>
        </w:rPr>
        <w:t>场</w:t>
      </w:r>
      <w:r>
        <w:rPr>
          <w:rFonts w:hint="eastAsia"/>
          <w:bCs/>
          <w:color w:val="auto"/>
          <w:kern w:val="28"/>
          <w:highlight w:val="none"/>
        </w:rPr>
        <w:t>技术人员到达故障现场</w:t>
      </w:r>
      <w:r>
        <w:rPr>
          <w:rFonts w:hint="eastAsia"/>
          <w:color w:val="auto"/>
          <w:spacing w:val="-11"/>
          <w:highlight w:val="none"/>
        </w:rPr>
        <w:t>，处理系统故障</w:t>
      </w:r>
      <w:r>
        <w:rPr>
          <w:rFonts w:hint="eastAsia"/>
          <w:color w:val="auto"/>
          <w:highlight w:val="none"/>
        </w:rPr>
        <w:t>。</w:t>
      </w:r>
    </w:p>
    <w:p>
      <w:pPr>
        <w:spacing w:line="360" w:lineRule="auto"/>
        <w:ind w:firstLine="220" w:firstLineChars="100"/>
        <w:outlineLvl w:val="1"/>
        <w:rPr>
          <w:rFonts w:hint="eastAsia"/>
          <w:color w:val="auto"/>
          <w:highlight w:val="none"/>
        </w:rPr>
      </w:pPr>
      <w:r>
        <w:rPr>
          <w:rFonts w:hint="eastAsia"/>
          <w:color w:val="auto"/>
          <w:highlight w:val="none"/>
        </w:rPr>
        <w:t>（2）2小时响应方式</w:t>
      </w:r>
    </w:p>
    <w:p>
      <w:pPr>
        <w:spacing w:line="360" w:lineRule="auto"/>
        <w:ind w:firstLine="440" w:firstLineChars="200"/>
        <w:rPr>
          <w:rFonts w:hint="eastAsia"/>
          <w:color w:val="auto"/>
          <w:highlight w:val="none"/>
        </w:rPr>
      </w:pPr>
      <w:r>
        <w:rPr>
          <w:rFonts w:hint="eastAsia"/>
          <w:color w:val="auto"/>
          <w:highlight w:val="none"/>
        </w:rPr>
        <w:t>经技术人员检修，如预计设备故障在2小时内无法排除的情况，将在设备故障时间起计2小时内提供不低于故障设备档次及性能的备用设备供</w:t>
      </w:r>
      <w:r>
        <w:rPr>
          <w:rFonts w:hint="eastAsia"/>
          <w:color w:val="auto"/>
          <w:highlight w:val="none"/>
          <w:lang w:val="en-US"/>
        </w:rPr>
        <w:t>采购人</w:t>
      </w:r>
      <w:r>
        <w:rPr>
          <w:rFonts w:hint="eastAsia"/>
          <w:color w:val="auto"/>
          <w:highlight w:val="none"/>
        </w:rPr>
        <w:t>使用，直至故障设备修复。</w:t>
      </w:r>
    </w:p>
    <w:p>
      <w:pPr>
        <w:spacing w:line="360" w:lineRule="auto"/>
        <w:ind w:firstLine="220" w:firstLineChars="100"/>
        <w:outlineLvl w:val="1"/>
        <w:rPr>
          <w:rFonts w:hint="eastAsia"/>
          <w:color w:val="auto"/>
          <w:highlight w:val="none"/>
        </w:rPr>
      </w:pPr>
      <w:r>
        <w:rPr>
          <w:rFonts w:hint="eastAsia"/>
          <w:color w:val="auto"/>
          <w:highlight w:val="none"/>
        </w:rPr>
        <w:t>（3)24小时响应方式</w:t>
      </w:r>
    </w:p>
    <w:p>
      <w:pPr>
        <w:spacing w:line="360" w:lineRule="auto"/>
        <w:ind w:firstLine="440" w:firstLineChars="200"/>
        <w:rPr>
          <w:rFonts w:hint="eastAsia"/>
          <w:color w:val="auto"/>
          <w:highlight w:val="none"/>
        </w:rPr>
      </w:pPr>
      <w:r>
        <w:rPr>
          <w:rFonts w:hint="eastAsia"/>
          <w:color w:val="auto"/>
          <w:highlight w:val="none"/>
        </w:rPr>
        <w:t>提供24小时响应服务，全天24小时服务热线电话，2小时</w:t>
      </w:r>
      <w:r>
        <w:rPr>
          <w:rFonts w:hint="eastAsia"/>
          <w:color w:val="auto"/>
          <w:highlight w:val="none"/>
          <w:lang w:val="en-US"/>
        </w:rPr>
        <w:t>内</w:t>
      </w:r>
      <w:r>
        <w:rPr>
          <w:rFonts w:hint="eastAsia"/>
          <w:color w:val="auto"/>
          <w:highlight w:val="none"/>
        </w:rPr>
        <w:t>提供备件更换服务等。</w:t>
      </w:r>
    </w:p>
    <w:p>
      <w:pPr>
        <w:spacing w:line="360" w:lineRule="auto"/>
        <w:outlineLvl w:val="0"/>
        <w:rPr>
          <w:rFonts w:hint="eastAsia"/>
          <w:bCs/>
          <w:color w:val="auto"/>
          <w:highlight w:val="none"/>
        </w:rPr>
      </w:pPr>
      <w:r>
        <w:rPr>
          <w:rFonts w:hint="eastAsia"/>
          <w:color w:val="auto"/>
          <w:highlight w:val="none"/>
        </w:rPr>
        <w:t xml:space="preserve">      </w:t>
      </w:r>
      <w:r>
        <w:rPr>
          <w:rFonts w:hint="eastAsia"/>
          <w:color w:val="auto"/>
          <w:highlight w:val="none"/>
          <w:lang w:val="en-US"/>
        </w:rPr>
        <w:t>11</w:t>
      </w:r>
      <w:r>
        <w:rPr>
          <w:rFonts w:hint="eastAsia"/>
          <w:color w:val="auto"/>
          <w:highlight w:val="none"/>
        </w:rPr>
        <w:t>.4</w:t>
      </w:r>
      <w:r>
        <w:rPr>
          <w:rFonts w:hint="eastAsia"/>
          <w:color w:val="auto"/>
          <w:highlight w:val="none"/>
          <w:lang w:val="en-US"/>
        </w:rPr>
        <w:t>.</w:t>
      </w:r>
      <w:r>
        <w:rPr>
          <w:rFonts w:hint="eastAsia"/>
          <w:bCs/>
          <w:color w:val="auto"/>
          <w:highlight w:val="none"/>
        </w:rPr>
        <w:t>沟通机制</w:t>
      </w:r>
    </w:p>
    <w:p>
      <w:pPr>
        <w:widowControl/>
        <w:spacing w:line="360" w:lineRule="auto"/>
        <w:ind w:firstLine="220" w:firstLineChars="100"/>
        <w:rPr>
          <w:rFonts w:hint="eastAsia"/>
          <w:color w:val="auto"/>
          <w:highlight w:val="none"/>
        </w:rPr>
      </w:pPr>
      <w:r>
        <w:rPr>
          <w:rFonts w:hint="eastAsia"/>
          <w:color w:val="auto"/>
          <w:highlight w:val="none"/>
        </w:rPr>
        <w:t>（1）为保证项目进度与质量，</w:t>
      </w:r>
      <w:r>
        <w:rPr>
          <w:rFonts w:hint="eastAsia"/>
          <w:color w:val="auto"/>
          <w:highlight w:val="none"/>
          <w:lang w:val="en-US"/>
        </w:rPr>
        <w:t>需</w:t>
      </w:r>
      <w:r>
        <w:rPr>
          <w:rFonts w:hint="eastAsia"/>
          <w:color w:val="auto"/>
          <w:highlight w:val="none"/>
        </w:rPr>
        <w:t>接受医院合理的加班要求。</w:t>
      </w:r>
    </w:p>
    <w:p>
      <w:pPr>
        <w:widowControl/>
        <w:spacing w:line="360" w:lineRule="auto"/>
        <w:ind w:left="880" w:leftChars="100" w:hanging="660" w:hangingChars="300"/>
        <w:rPr>
          <w:rFonts w:hint="eastAsia"/>
          <w:color w:val="auto"/>
          <w:highlight w:val="none"/>
        </w:rPr>
      </w:pPr>
      <w:r>
        <w:rPr>
          <w:rFonts w:hint="eastAsia"/>
          <w:color w:val="auto"/>
          <w:highlight w:val="none"/>
        </w:rPr>
        <w:t>（2）项目经理</w:t>
      </w:r>
      <w:r>
        <w:rPr>
          <w:rFonts w:hint="eastAsia"/>
          <w:color w:val="auto"/>
          <w:highlight w:val="none"/>
          <w:lang w:val="en-US"/>
        </w:rPr>
        <w:t>需</w:t>
      </w:r>
      <w:r>
        <w:rPr>
          <w:rFonts w:hint="eastAsia"/>
          <w:color w:val="auto"/>
          <w:highlight w:val="none"/>
        </w:rPr>
        <w:t>对</w:t>
      </w:r>
      <w:r>
        <w:rPr>
          <w:rFonts w:hint="eastAsia"/>
          <w:color w:val="auto"/>
          <w:highlight w:val="none"/>
          <w:lang w:val="en-US"/>
        </w:rPr>
        <w:t>本</w:t>
      </w:r>
      <w:r>
        <w:rPr>
          <w:rFonts w:hint="eastAsia"/>
          <w:color w:val="auto"/>
          <w:highlight w:val="none"/>
        </w:rPr>
        <w:t>项目的</w:t>
      </w:r>
      <w:r>
        <w:rPr>
          <w:rFonts w:hint="eastAsia"/>
          <w:color w:val="auto"/>
          <w:highlight w:val="none"/>
          <w:lang w:val="en-US"/>
        </w:rPr>
        <w:t>整体</w:t>
      </w:r>
      <w:r>
        <w:rPr>
          <w:rFonts w:hint="eastAsia"/>
          <w:color w:val="auto"/>
          <w:highlight w:val="none"/>
        </w:rPr>
        <w:t>工作负责，随时与</w:t>
      </w:r>
      <w:r>
        <w:rPr>
          <w:rFonts w:hint="eastAsia"/>
          <w:color w:val="auto"/>
          <w:highlight w:val="none"/>
          <w:lang w:val="en-US"/>
        </w:rPr>
        <w:t>采购人</w:t>
      </w:r>
      <w:r>
        <w:rPr>
          <w:rFonts w:hint="eastAsia"/>
          <w:color w:val="auto"/>
          <w:highlight w:val="none"/>
        </w:rPr>
        <w:t>沟通，指导和监督</w:t>
      </w:r>
      <w:r>
        <w:rPr>
          <w:rFonts w:hint="eastAsia"/>
          <w:color w:val="auto"/>
          <w:highlight w:val="none"/>
          <w:lang w:val="en-US"/>
        </w:rPr>
        <w:t>团队其他</w:t>
      </w:r>
      <w:r>
        <w:rPr>
          <w:rFonts w:hint="eastAsia"/>
          <w:color w:val="auto"/>
          <w:highlight w:val="none"/>
        </w:rPr>
        <w:t>人员每天的工作计划，跟踪项目进度，及时处理项目中碰到的问题。</w:t>
      </w:r>
    </w:p>
    <w:p>
      <w:pPr>
        <w:widowControl/>
        <w:spacing w:line="360" w:lineRule="auto"/>
        <w:ind w:left="880" w:leftChars="100" w:hanging="660" w:hangingChars="300"/>
        <w:rPr>
          <w:rFonts w:hint="eastAsia"/>
          <w:color w:val="auto"/>
          <w:highlight w:val="none"/>
        </w:rPr>
      </w:pPr>
      <w:r>
        <w:rPr>
          <w:rFonts w:hint="eastAsia"/>
          <w:color w:val="auto"/>
          <w:highlight w:val="none"/>
        </w:rPr>
        <w:t xml:space="preserve">（3）针对此项目，成立监察小组，定期对项目内日常工作记录进行检查，确保项目在一个良性的机制下高质量、高效率的进行。 </w:t>
      </w:r>
    </w:p>
    <w:p>
      <w:pPr>
        <w:widowControl/>
        <w:spacing w:line="360" w:lineRule="auto"/>
        <w:ind w:firstLine="220" w:firstLineChars="100"/>
        <w:rPr>
          <w:rFonts w:hint="eastAsia"/>
          <w:color w:val="auto"/>
          <w:highlight w:val="none"/>
        </w:rPr>
      </w:pPr>
      <w:r>
        <w:rPr>
          <w:rFonts w:hint="eastAsia"/>
          <w:color w:val="auto"/>
          <w:highlight w:val="none"/>
        </w:rPr>
        <w:t>（4）严格按照进度要求监督项目进度。对可能影响进度的情况，提前做好准备工作。</w:t>
      </w:r>
    </w:p>
    <w:p>
      <w:pPr>
        <w:widowControl/>
        <w:spacing w:line="360" w:lineRule="auto"/>
        <w:ind w:firstLine="220" w:firstLineChars="100"/>
        <w:rPr>
          <w:rFonts w:hint="eastAsia"/>
          <w:color w:val="auto"/>
          <w:highlight w:val="none"/>
        </w:rPr>
      </w:pPr>
      <w:r>
        <w:rPr>
          <w:rFonts w:hint="eastAsia"/>
          <w:color w:val="auto"/>
          <w:highlight w:val="none"/>
        </w:rPr>
        <w:t>（5）保证有充足的后备与应急人员，以应付突发的大量临时性指定任务，确保项目进度。</w:t>
      </w:r>
    </w:p>
    <w:p>
      <w:pPr>
        <w:widowControl/>
        <w:spacing w:line="360" w:lineRule="auto"/>
        <w:ind w:left="660" w:leftChars="100" w:hanging="440" w:hangingChars="200"/>
        <w:rPr>
          <w:rFonts w:hint="eastAsia"/>
          <w:color w:val="auto"/>
          <w:highlight w:val="none"/>
        </w:rPr>
      </w:pPr>
      <w:r>
        <w:rPr>
          <w:rFonts w:hint="eastAsia"/>
          <w:color w:val="auto"/>
          <w:highlight w:val="none"/>
        </w:rPr>
        <w:t>（6）</w:t>
      </w:r>
      <w:r>
        <w:rPr>
          <w:rFonts w:hint="eastAsia"/>
          <w:color w:val="auto"/>
          <w:highlight w:val="none"/>
          <w:lang w:val="en-US"/>
        </w:rPr>
        <w:t>成交人需配备</w:t>
      </w:r>
      <w:r>
        <w:rPr>
          <w:rFonts w:hint="eastAsia"/>
          <w:color w:val="auto"/>
          <w:highlight w:val="none"/>
        </w:rPr>
        <w:t>多名后备工程师作为本项目现场及远程技术支持，协助解决项目疑难技术问题。</w:t>
      </w:r>
    </w:p>
    <w:p>
      <w:pPr>
        <w:widowControl/>
        <w:spacing w:line="360" w:lineRule="auto"/>
        <w:ind w:firstLine="220" w:firstLineChars="100"/>
        <w:rPr>
          <w:rFonts w:hint="eastAsia"/>
          <w:color w:val="auto"/>
          <w:highlight w:val="none"/>
        </w:rPr>
      </w:pPr>
      <w:r>
        <w:rPr>
          <w:rFonts w:hint="eastAsia"/>
          <w:color w:val="auto"/>
          <w:highlight w:val="none"/>
        </w:rPr>
        <w:t>（</w:t>
      </w:r>
      <w:r>
        <w:rPr>
          <w:rFonts w:hint="eastAsia"/>
          <w:color w:val="auto"/>
          <w:highlight w:val="none"/>
          <w:lang w:val="en-US"/>
        </w:rPr>
        <w:t>7</w:t>
      </w:r>
      <w:r>
        <w:rPr>
          <w:rFonts w:hint="eastAsia"/>
          <w:color w:val="auto"/>
          <w:highlight w:val="none"/>
        </w:rPr>
        <w:t>）</w:t>
      </w:r>
      <w:r>
        <w:rPr>
          <w:rFonts w:hint="eastAsia"/>
          <w:color w:val="auto"/>
          <w:highlight w:val="none"/>
          <w:lang w:val="en-US"/>
        </w:rPr>
        <w:t>项目团队成员需具有与项目相匹配的专业技术能力。</w:t>
      </w:r>
    </w:p>
    <w:p>
      <w:pPr>
        <w:widowControl/>
        <w:spacing w:line="360" w:lineRule="auto"/>
        <w:ind w:left="660" w:leftChars="300"/>
        <w:outlineLvl w:val="0"/>
        <w:rPr>
          <w:rFonts w:hint="eastAsia"/>
          <w:color w:val="auto"/>
          <w:highlight w:val="none"/>
        </w:rPr>
      </w:pPr>
      <w:r>
        <w:rPr>
          <w:rFonts w:hint="eastAsia"/>
          <w:bCs/>
          <w:color w:val="auto"/>
          <w:highlight w:val="none"/>
          <w:lang w:val="en-US"/>
        </w:rPr>
        <w:t>11</w:t>
      </w:r>
      <w:r>
        <w:rPr>
          <w:rFonts w:hint="eastAsia"/>
          <w:color w:val="auto"/>
          <w:highlight w:val="none"/>
        </w:rPr>
        <w:t>.5</w:t>
      </w:r>
      <w:r>
        <w:rPr>
          <w:rFonts w:hint="eastAsia"/>
          <w:color w:val="auto"/>
          <w:highlight w:val="none"/>
          <w:lang w:val="en-US"/>
        </w:rPr>
        <w:t>.</w:t>
      </w:r>
      <w:r>
        <w:rPr>
          <w:rFonts w:hint="eastAsia"/>
          <w:bCs/>
          <w:color w:val="auto"/>
          <w:highlight w:val="none"/>
        </w:rPr>
        <w:t>监督机制</w:t>
      </w:r>
    </w:p>
    <w:p>
      <w:pPr>
        <w:spacing w:line="360" w:lineRule="auto"/>
        <w:ind w:firstLine="440" w:firstLineChars="200"/>
        <w:rPr>
          <w:rFonts w:hint="eastAsia"/>
          <w:color w:val="auto"/>
          <w:highlight w:val="none"/>
        </w:rPr>
      </w:pPr>
      <w:r>
        <w:rPr>
          <w:rFonts w:hint="eastAsia"/>
          <w:color w:val="auto"/>
          <w:highlight w:val="none"/>
        </w:rPr>
        <w:t>要求</w:t>
      </w:r>
      <w:r>
        <w:rPr>
          <w:rFonts w:hint="eastAsia"/>
          <w:color w:val="auto"/>
          <w:highlight w:val="none"/>
          <w:lang w:val="en-US"/>
        </w:rPr>
        <w:t>成交人</w:t>
      </w:r>
      <w:r>
        <w:rPr>
          <w:rFonts w:hint="eastAsia"/>
          <w:color w:val="auto"/>
          <w:highlight w:val="none"/>
        </w:rPr>
        <w:t>设有专门的服务监督机构，由</w:t>
      </w:r>
      <w:r>
        <w:rPr>
          <w:rFonts w:hint="eastAsia"/>
          <w:color w:val="auto"/>
          <w:highlight w:val="none"/>
          <w:lang w:val="en-US"/>
        </w:rPr>
        <w:t>成交人的主要负责人</w:t>
      </w:r>
      <w:r>
        <w:rPr>
          <w:rFonts w:hint="eastAsia"/>
          <w:color w:val="auto"/>
          <w:highlight w:val="none"/>
        </w:rPr>
        <w:t>全面负责。服务监督机构不定期以各种方式向</w:t>
      </w:r>
      <w:r>
        <w:rPr>
          <w:rFonts w:hint="eastAsia"/>
          <w:color w:val="auto"/>
          <w:highlight w:val="none"/>
          <w:lang w:val="en-US"/>
        </w:rPr>
        <w:t>采购人各使用科室</w:t>
      </w:r>
      <w:r>
        <w:rPr>
          <w:rFonts w:hint="eastAsia"/>
          <w:color w:val="auto"/>
          <w:highlight w:val="none"/>
        </w:rPr>
        <w:t>征询对</w:t>
      </w:r>
      <w:r>
        <w:rPr>
          <w:rFonts w:hint="eastAsia"/>
          <w:color w:val="auto"/>
          <w:highlight w:val="none"/>
          <w:lang w:val="en-US"/>
        </w:rPr>
        <w:t>成交人</w:t>
      </w:r>
      <w:r>
        <w:rPr>
          <w:rFonts w:hint="eastAsia"/>
          <w:color w:val="auto"/>
          <w:highlight w:val="none"/>
        </w:rPr>
        <w:t xml:space="preserve">服务的意见和建议。 </w:t>
      </w:r>
    </w:p>
    <w:p>
      <w:pPr>
        <w:spacing w:line="360" w:lineRule="auto"/>
        <w:ind w:firstLine="660" w:firstLineChars="300"/>
        <w:outlineLvl w:val="0"/>
        <w:rPr>
          <w:rFonts w:hint="eastAsia"/>
          <w:color w:val="auto"/>
          <w:highlight w:val="none"/>
        </w:rPr>
      </w:pPr>
      <w:r>
        <w:rPr>
          <w:rFonts w:hint="eastAsia"/>
          <w:bCs/>
          <w:color w:val="auto"/>
          <w:highlight w:val="none"/>
          <w:lang w:val="en-US"/>
        </w:rPr>
        <w:t>11</w:t>
      </w:r>
      <w:r>
        <w:rPr>
          <w:rFonts w:hint="eastAsia"/>
          <w:color w:val="auto"/>
          <w:highlight w:val="none"/>
        </w:rPr>
        <w:t>.6</w:t>
      </w:r>
      <w:r>
        <w:rPr>
          <w:rFonts w:hint="eastAsia"/>
          <w:color w:val="auto"/>
          <w:highlight w:val="none"/>
          <w:lang w:val="en-US"/>
        </w:rPr>
        <w:t>.</w:t>
      </w:r>
      <w:r>
        <w:rPr>
          <w:rFonts w:hint="eastAsia"/>
          <w:bCs/>
          <w:color w:val="auto"/>
          <w:highlight w:val="none"/>
        </w:rPr>
        <w:t>应急服务</w:t>
      </w:r>
    </w:p>
    <w:p>
      <w:pPr>
        <w:spacing w:line="360" w:lineRule="auto"/>
        <w:ind w:firstLine="440" w:firstLineChars="200"/>
        <w:rPr>
          <w:rFonts w:hint="eastAsia"/>
          <w:color w:val="auto"/>
          <w:highlight w:val="none"/>
        </w:rPr>
      </w:pPr>
      <w:r>
        <w:rPr>
          <w:rFonts w:hint="eastAsia"/>
          <w:color w:val="auto"/>
          <w:highlight w:val="none"/>
        </w:rPr>
        <w:t>应急情况一般是指：系统宕机且未能确定故障原因、因突发事件并发而造成不能提供有效备件、第一次现场服务故障未排除、因自然灾害等不可抗力造成设备损坏等情况。</w:t>
      </w:r>
    </w:p>
    <w:p>
      <w:pPr>
        <w:spacing w:line="360" w:lineRule="auto"/>
        <w:ind w:firstLine="440" w:firstLineChars="200"/>
        <w:rPr>
          <w:rFonts w:hint="eastAsia"/>
          <w:color w:val="auto"/>
          <w:highlight w:val="none"/>
        </w:rPr>
      </w:pPr>
      <w:r>
        <w:rPr>
          <w:rFonts w:hint="eastAsia"/>
          <w:color w:val="auto"/>
          <w:highlight w:val="none"/>
        </w:rPr>
        <w:t>以下情况虽然不属于</w:t>
      </w:r>
      <w:r>
        <w:rPr>
          <w:rFonts w:hint="eastAsia"/>
          <w:color w:val="auto"/>
          <w:highlight w:val="none"/>
          <w:lang w:val="en-US"/>
        </w:rPr>
        <w:t>成交人</w:t>
      </w:r>
      <w:r>
        <w:rPr>
          <w:rFonts w:hint="eastAsia"/>
          <w:color w:val="auto"/>
          <w:highlight w:val="none"/>
        </w:rPr>
        <w:t>责任范围，但</w:t>
      </w:r>
      <w:r>
        <w:rPr>
          <w:rFonts w:hint="eastAsia"/>
          <w:color w:val="auto"/>
          <w:highlight w:val="none"/>
          <w:lang w:val="en-US"/>
        </w:rPr>
        <w:t>成交人</w:t>
      </w:r>
      <w:r>
        <w:rPr>
          <w:rFonts w:hint="eastAsia"/>
          <w:color w:val="auto"/>
          <w:highlight w:val="none"/>
        </w:rPr>
        <w:t>要尽全力予以配合：因地震、雷击、战争等不可抗拒力造成设备损坏；因供电系统、火灾等造成设备损坏。</w:t>
      </w:r>
    </w:p>
    <w:p>
      <w:pPr>
        <w:spacing w:line="360" w:lineRule="auto"/>
        <w:ind w:firstLine="660" w:firstLineChars="300"/>
        <w:outlineLvl w:val="1"/>
        <w:rPr>
          <w:rFonts w:hint="eastAsia"/>
          <w:color w:val="auto"/>
          <w:highlight w:val="none"/>
        </w:rPr>
      </w:pPr>
      <w:r>
        <w:rPr>
          <w:rFonts w:hint="eastAsia"/>
          <w:bCs/>
          <w:color w:val="auto"/>
          <w:highlight w:val="none"/>
          <w:lang w:val="en-US"/>
        </w:rPr>
        <w:t>11</w:t>
      </w:r>
      <w:r>
        <w:rPr>
          <w:rFonts w:hint="eastAsia"/>
          <w:color w:val="auto"/>
          <w:highlight w:val="none"/>
        </w:rPr>
        <w:t>.6.1</w:t>
      </w:r>
      <w:r>
        <w:rPr>
          <w:rFonts w:hint="eastAsia"/>
          <w:color w:val="auto"/>
          <w:highlight w:val="none"/>
          <w:lang w:val="en-US"/>
        </w:rPr>
        <w:t>.</w:t>
      </w:r>
      <w:r>
        <w:rPr>
          <w:rFonts w:hint="eastAsia"/>
          <w:bCs/>
          <w:color w:val="auto"/>
          <w:highlight w:val="none"/>
        </w:rPr>
        <w:t>应急响应时间</w:t>
      </w:r>
    </w:p>
    <w:p>
      <w:pPr>
        <w:spacing w:line="360" w:lineRule="auto"/>
        <w:ind w:firstLine="440" w:firstLineChars="200"/>
        <w:rPr>
          <w:rFonts w:hint="eastAsia"/>
          <w:color w:val="auto"/>
          <w:highlight w:val="none"/>
        </w:rPr>
      </w:pPr>
      <w:r>
        <w:rPr>
          <w:rFonts w:hint="eastAsia"/>
          <w:color w:val="auto"/>
          <w:highlight w:val="none"/>
        </w:rPr>
        <w:t>法定节假日期间，如发生重大故障，</w:t>
      </w:r>
      <w:r>
        <w:rPr>
          <w:rFonts w:hint="eastAsia"/>
          <w:color w:val="auto"/>
          <w:highlight w:val="none"/>
          <w:lang w:val="en-US"/>
        </w:rPr>
        <w:t>成交人</w:t>
      </w:r>
      <w:r>
        <w:rPr>
          <w:rFonts w:hint="eastAsia"/>
          <w:color w:val="auto"/>
          <w:highlight w:val="none"/>
        </w:rPr>
        <w:t>应在5分钟内</w:t>
      </w:r>
      <w:r>
        <w:rPr>
          <w:rFonts w:hint="eastAsia"/>
          <w:color w:val="auto"/>
          <w:highlight w:val="none"/>
          <w:lang w:val="en-US"/>
        </w:rPr>
        <w:t>响应</w:t>
      </w:r>
      <w:r>
        <w:rPr>
          <w:rFonts w:hint="eastAsia"/>
          <w:color w:val="auto"/>
          <w:highlight w:val="none"/>
        </w:rPr>
        <w:t>，在半小时内由驻点人员赶赴现场。同时</w:t>
      </w:r>
      <w:r>
        <w:rPr>
          <w:rFonts w:hint="eastAsia"/>
          <w:color w:val="auto"/>
          <w:highlight w:val="none"/>
          <w:lang w:val="en-US"/>
        </w:rPr>
        <w:t>以</w:t>
      </w:r>
      <w:r>
        <w:rPr>
          <w:rFonts w:hint="eastAsia"/>
          <w:color w:val="auto"/>
          <w:highlight w:val="none"/>
        </w:rPr>
        <w:t>最快速度与</w:t>
      </w:r>
      <w:r>
        <w:rPr>
          <w:rFonts w:hint="eastAsia"/>
          <w:color w:val="auto"/>
          <w:highlight w:val="none"/>
          <w:lang w:val="en-US"/>
        </w:rPr>
        <w:t>采购人</w:t>
      </w:r>
      <w:r>
        <w:rPr>
          <w:rFonts w:hint="eastAsia"/>
          <w:color w:val="auto"/>
          <w:highlight w:val="none"/>
        </w:rPr>
        <w:t>共同讨论，在20分钟内</w:t>
      </w:r>
      <w:r>
        <w:rPr>
          <w:rFonts w:hint="eastAsia"/>
          <w:bCs/>
          <w:color w:val="auto"/>
          <w:highlight w:val="none"/>
        </w:rPr>
        <w:t>成立应急事件处理小组，组织</w:t>
      </w:r>
      <w:r>
        <w:rPr>
          <w:rFonts w:hint="eastAsia"/>
          <w:color w:val="auto"/>
          <w:highlight w:val="none"/>
        </w:rPr>
        <w:t>后备专业技术团队，制定</w:t>
      </w:r>
      <w:r>
        <w:rPr>
          <w:rFonts w:hint="eastAsia"/>
          <w:color w:val="auto"/>
          <w:highlight w:val="none"/>
          <w:lang w:val="en-US"/>
        </w:rPr>
        <w:t>应</w:t>
      </w:r>
      <w:r>
        <w:rPr>
          <w:rFonts w:hint="eastAsia"/>
          <w:color w:val="auto"/>
          <w:highlight w:val="none"/>
        </w:rPr>
        <w:t>急预案，与驻点技术人员一</w:t>
      </w:r>
      <w:r>
        <w:rPr>
          <w:rFonts w:hint="eastAsia"/>
          <w:color w:val="auto"/>
          <w:highlight w:val="none"/>
          <w:lang w:val="en-US"/>
        </w:rPr>
        <w:t>同</w:t>
      </w:r>
      <w:r>
        <w:rPr>
          <w:rFonts w:hint="eastAsia"/>
          <w:color w:val="auto"/>
          <w:highlight w:val="none"/>
        </w:rPr>
        <w:t>以最快速度进行故障处理，直至问题解决。</w:t>
      </w:r>
    </w:p>
    <w:p>
      <w:pPr>
        <w:spacing w:line="360" w:lineRule="auto"/>
        <w:ind w:firstLine="660" w:firstLineChars="300"/>
        <w:outlineLvl w:val="1"/>
        <w:rPr>
          <w:rFonts w:hint="eastAsia"/>
          <w:color w:val="auto"/>
          <w:highlight w:val="none"/>
        </w:rPr>
      </w:pPr>
      <w:r>
        <w:rPr>
          <w:rFonts w:hint="eastAsia"/>
          <w:bCs/>
          <w:color w:val="auto"/>
          <w:highlight w:val="none"/>
          <w:lang w:val="en-US"/>
        </w:rPr>
        <w:t>11</w:t>
      </w:r>
      <w:r>
        <w:rPr>
          <w:rFonts w:hint="eastAsia"/>
          <w:color w:val="auto"/>
          <w:highlight w:val="none"/>
        </w:rPr>
        <w:t>.6.2</w:t>
      </w:r>
      <w:r>
        <w:rPr>
          <w:rFonts w:hint="eastAsia"/>
          <w:color w:val="auto"/>
          <w:highlight w:val="none"/>
          <w:lang w:val="en-US"/>
        </w:rPr>
        <w:t>.</w:t>
      </w:r>
      <w:r>
        <w:rPr>
          <w:rFonts w:hint="eastAsia"/>
          <w:bCs/>
          <w:color w:val="auto"/>
          <w:highlight w:val="none"/>
        </w:rPr>
        <w:t>应急措施</w:t>
      </w:r>
    </w:p>
    <w:p>
      <w:pPr>
        <w:spacing w:line="360" w:lineRule="auto"/>
        <w:ind w:firstLine="420"/>
        <w:rPr>
          <w:rFonts w:hint="eastAsia"/>
          <w:color w:val="auto"/>
          <w:highlight w:val="none"/>
        </w:rPr>
      </w:pPr>
      <w:r>
        <w:rPr>
          <w:rFonts w:hint="eastAsia"/>
          <w:color w:val="auto"/>
          <w:highlight w:val="none"/>
        </w:rPr>
        <w:t>在突发应急情况时，将迅速派出高层管理人员赶赴现场，会同</w:t>
      </w:r>
      <w:r>
        <w:rPr>
          <w:rFonts w:hint="eastAsia"/>
          <w:color w:val="auto"/>
          <w:highlight w:val="none"/>
          <w:lang w:val="en-US"/>
        </w:rPr>
        <w:t>采购人</w:t>
      </w:r>
      <w:r>
        <w:rPr>
          <w:rFonts w:hint="eastAsia"/>
          <w:color w:val="auto"/>
          <w:highlight w:val="none"/>
        </w:rPr>
        <w:t>领导共同协商，调度指挥各方面有效资源完成</w:t>
      </w:r>
      <w:r>
        <w:rPr>
          <w:rFonts w:hint="eastAsia"/>
          <w:color w:val="auto"/>
          <w:highlight w:val="none"/>
          <w:lang w:val="en-US"/>
        </w:rPr>
        <w:t>抢修</w:t>
      </w:r>
      <w:r>
        <w:rPr>
          <w:rFonts w:hint="eastAsia"/>
          <w:color w:val="auto"/>
          <w:highlight w:val="none"/>
        </w:rPr>
        <w:t xml:space="preserve">工作。针对不同情况，将单独或同时采取以下几种应急措施：     </w:t>
      </w:r>
    </w:p>
    <w:p>
      <w:pPr>
        <w:spacing w:line="360" w:lineRule="auto"/>
        <w:ind w:firstLine="660" w:firstLineChars="300"/>
        <w:outlineLvl w:val="2"/>
        <w:rPr>
          <w:rFonts w:hint="eastAsia"/>
          <w:color w:val="auto"/>
          <w:highlight w:val="none"/>
        </w:rPr>
      </w:pPr>
      <w:r>
        <w:rPr>
          <w:rFonts w:hint="eastAsia"/>
          <w:bCs/>
          <w:color w:val="auto"/>
          <w:highlight w:val="none"/>
          <w:lang w:val="en-US"/>
        </w:rPr>
        <w:t>11</w:t>
      </w:r>
      <w:r>
        <w:rPr>
          <w:rFonts w:hint="eastAsia"/>
          <w:color w:val="auto"/>
          <w:highlight w:val="none"/>
        </w:rPr>
        <w:t>.6.2.1</w:t>
      </w:r>
      <w:r>
        <w:rPr>
          <w:rFonts w:hint="eastAsia"/>
          <w:color w:val="auto"/>
          <w:highlight w:val="none"/>
          <w:lang w:val="en-US"/>
        </w:rPr>
        <w:t>.</w:t>
      </w:r>
      <w:r>
        <w:rPr>
          <w:rFonts w:hint="eastAsia"/>
          <w:bCs/>
          <w:color w:val="auto"/>
          <w:highlight w:val="none"/>
        </w:rPr>
        <w:t>紧急</w:t>
      </w:r>
      <w:r>
        <w:rPr>
          <w:rFonts w:hint="eastAsia"/>
          <w:color w:val="auto"/>
          <w:kern w:val="28"/>
          <w:highlight w:val="none"/>
        </w:rPr>
        <w:t>备机替换</w:t>
      </w:r>
    </w:p>
    <w:p>
      <w:pPr>
        <w:spacing w:line="360" w:lineRule="auto"/>
        <w:ind w:firstLine="440" w:firstLineChars="200"/>
        <w:rPr>
          <w:rFonts w:hint="eastAsia"/>
          <w:color w:val="auto"/>
          <w:highlight w:val="none"/>
        </w:rPr>
      </w:pPr>
      <w:r>
        <w:rPr>
          <w:rFonts w:hint="eastAsia"/>
          <w:color w:val="auto"/>
          <w:highlight w:val="none"/>
        </w:rPr>
        <w:t>当设备突然出现故障且无法快速恢复时，</w:t>
      </w:r>
      <w:r>
        <w:rPr>
          <w:rFonts w:hint="eastAsia"/>
          <w:color w:val="auto"/>
          <w:highlight w:val="none"/>
          <w:lang w:val="en-US"/>
        </w:rPr>
        <w:t>成交人</w:t>
      </w:r>
      <w:r>
        <w:rPr>
          <w:rFonts w:hint="eastAsia"/>
          <w:color w:val="auto"/>
          <w:highlight w:val="none"/>
        </w:rPr>
        <w:t>提供备用机给送往</w:t>
      </w:r>
      <w:r>
        <w:rPr>
          <w:rFonts w:hint="eastAsia"/>
          <w:color w:val="auto"/>
          <w:highlight w:val="none"/>
          <w:lang w:val="en-US"/>
        </w:rPr>
        <w:t>采购人现场</w:t>
      </w:r>
      <w:r>
        <w:rPr>
          <w:rFonts w:hint="eastAsia"/>
          <w:color w:val="auto"/>
          <w:highlight w:val="none"/>
        </w:rPr>
        <w:t>，以保障客户业务系统在最短的时间内恢复运行。</w:t>
      </w:r>
    </w:p>
    <w:p>
      <w:pPr>
        <w:spacing w:line="360" w:lineRule="auto"/>
        <w:ind w:firstLine="660" w:firstLineChars="300"/>
        <w:outlineLvl w:val="2"/>
        <w:rPr>
          <w:rFonts w:hint="eastAsia"/>
          <w:color w:val="auto"/>
          <w:highlight w:val="none"/>
        </w:rPr>
      </w:pPr>
      <w:r>
        <w:rPr>
          <w:rFonts w:hint="eastAsia"/>
          <w:bCs/>
          <w:color w:val="auto"/>
          <w:highlight w:val="none"/>
          <w:lang w:val="en-US"/>
        </w:rPr>
        <w:t>11</w:t>
      </w:r>
      <w:r>
        <w:rPr>
          <w:rFonts w:hint="eastAsia"/>
          <w:color w:val="auto"/>
          <w:highlight w:val="none"/>
        </w:rPr>
        <w:t>.6.2.2</w:t>
      </w:r>
      <w:r>
        <w:rPr>
          <w:rFonts w:hint="eastAsia"/>
          <w:color w:val="auto"/>
          <w:highlight w:val="none"/>
          <w:lang w:val="en-US"/>
        </w:rPr>
        <w:t>.</w:t>
      </w:r>
      <w:r>
        <w:rPr>
          <w:rFonts w:hint="eastAsia"/>
          <w:color w:val="auto"/>
          <w:highlight w:val="none"/>
        </w:rPr>
        <w:t>紧急</w:t>
      </w:r>
      <w:r>
        <w:rPr>
          <w:rFonts w:hint="eastAsia"/>
          <w:bCs/>
          <w:color w:val="auto"/>
          <w:highlight w:val="none"/>
        </w:rPr>
        <w:t>调用工程师</w:t>
      </w:r>
    </w:p>
    <w:p>
      <w:pPr>
        <w:spacing w:line="360" w:lineRule="auto"/>
        <w:ind w:firstLine="440" w:firstLineChars="200"/>
        <w:rPr>
          <w:rFonts w:hint="eastAsia"/>
          <w:color w:val="auto"/>
          <w:highlight w:val="none"/>
        </w:rPr>
      </w:pPr>
      <w:r>
        <w:rPr>
          <w:rFonts w:hint="eastAsia"/>
          <w:color w:val="auto"/>
          <w:highlight w:val="none"/>
        </w:rPr>
        <w:t>要求</w:t>
      </w:r>
      <w:r>
        <w:rPr>
          <w:rFonts w:hint="eastAsia"/>
          <w:color w:val="auto"/>
          <w:highlight w:val="none"/>
          <w:lang w:val="en-US"/>
        </w:rPr>
        <w:t>成交人</w:t>
      </w:r>
      <w:r>
        <w:rPr>
          <w:rFonts w:hint="eastAsia"/>
          <w:color w:val="auto"/>
          <w:highlight w:val="none"/>
        </w:rPr>
        <w:t>拥有庞大的服务工程师及技术顾问队伍，如实际工作中有需要，</w:t>
      </w:r>
      <w:r>
        <w:rPr>
          <w:rFonts w:hint="eastAsia"/>
          <w:color w:val="auto"/>
          <w:highlight w:val="none"/>
          <w:lang w:val="en-US"/>
        </w:rPr>
        <w:t>成交人</w:t>
      </w:r>
      <w:r>
        <w:rPr>
          <w:rFonts w:hint="eastAsia"/>
          <w:color w:val="auto"/>
          <w:highlight w:val="none"/>
        </w:rPr>
        <w:t>须在1小时内调动后备工程师紧急赶赴医院现场完成相关工作。</w:t>
      </w:r>
    </w:p>
    <w:p>
      <w:pPr>
        <w:spacing w:line="360" w:lineRule="auto"/>
        <w:ind w:firstLine="440" w:firstLineChars="200"/>
        <w:rPr>
          <w:rFonts w:hint="eastAsia"/>
          <w:color w:val="auto"/>
          <w:highlight w:val="none"/>
        </w:rPr>
      </w:pPr>
      <w:r>
        <w:rPr>
          <w:rFonts w:hint="eastAsia"/>
          <w:color w:val="auto"/>
          <w:highlight w:val="none"/>
        </w:rPr>
        <w:t>当第一次紧急调用现场的工程师仍不足时，</w:t>
      </w:r>
      <w:r>
        <w:rPr>
          <w:rFonts w:hint="eastAsia"/>
          <w:color w:val="auto"/>
          <w:highlight w:val="none"/>
          <w:lang w:val="en-US"/>
        </w:rPr>
        <w:t>成交人</w:t>
      </w:r>
      <w:r>
        <w:rPr>
          <w:rFonts w:hint="eastAsia"/>
          <w:color w:val="auto"/>
          <w:highlight w:val="none"/>
        </w:rPr>
        <w:t>仍可继续按实际情况增派后备工程师赶赴现场协助。</w:t>
      </w:r>
    </w:p>
    <w:p>
      <w:pPr>
        <w:spacing w:line="360" w:lineRule="auto"/>
        <w:ind w:firstLine="660" w:firstLineChars="300"/>
        <w:outlineLvl w:val="2"/>
        <w:rPr>
          <w:rFonts w:hint="eastAsia"/>
          <w:color w:val="auto"/>
          <w:highlight w:val="none"/>
        </w:rPr>
      </w:pPr>
      <w:r>
        <w:rPr>
          <w:rFonts w:hint="eastAsia"/>
          <w:bCs/>
          <w:color w:val="auto"/>
          <w:highlight w:val="none"/>
          <w:lang w:val="en-US"/>
        </w:rPr>
        <w:t>11</w:t>
      </w:r>
      <w:r>
        <w:rPr>
          <w:rFonts w:hint="eastAsia"/>
          <w:color w:val="auto"/>
          <w:highlight w:val="none"/>
        </w:rPr>
        <w:t>.6.2.3</w:t>
      </w:r>
      <w:r>
        <w:rPr>
          <w:rFonts w:hint="eastAsia"/>
          <w:color w:val="auto"/>
          <w:highlight w:val="none"/>
          <w:lang w:val="en-US"/>
        </w:rPr>
        <w:t>.</w:t>
      </w:r>
      <w:r>
        <w:rPr>
          <w:rFonts w:hint="eastAsia"/>
          <w:bCs/>
          <w:color w:val="auto"/>
          <w:highlight w:val="none"/>
        </w:rPr>
        <w:t>紧急调用第三方资源</w:t>
      </w:r>
    </w:p>
    <w:p>
      <w:pPr>
        <w:spacing w:line="360" w:lineRule="auto"/>
        <w:ind w:firstLine="440" w:firstLineChars="200"/>
        <w:rPr>
          <w:rFonts w:hint="eastAsia"/>
          <w:color w:val="auto"/>
          <w:highlight w:val="none"/>
        </w:rPr>
      </w:pPr>
      <w:r>
        <w:rPr>
          <w:rFonts w:hint="eastAsia"/>
          <w:color w:val="auto"/>
          <w:highlight w:val="none"/>
        </w:rPr>
        <w:t>要求</w:t>
      </w:r>
      <w:r>
        <w:rPr>
          <w:rFonts w:hint="eastAsia"/>
          <w:color w:val="auto"/>
          <w:highlight w:val="none"/>
          <w:lang w:val="en-US"/>
        </w:rPr>
        <w:t>成交人</w:t>
      </w:r>
      <w:r>
        <w:rPr>
          <w:rFonts w:hint="eastAsia"/>
          <w:color w:val="auto"/>
          <w:highlight w:val="none"/>
        </w:rPr>
        <w:t>与</w:t>
      </w:r>
      <w:r>
        <w:rPr>
          <w:rFonts w:hint="eastAsia"/>
          <w:color w:val="auto"/>
          <w:highlight w:val="none"/>
          <w:lang w:val="en-US"/>
        </w:rPr>
        <w:t>采购人</w:t>
      </w:r>
      <w:r>
        <w:rPr>
          <w:rFonts w:hint="eastAsia"/>
          <w:color w:val="auto"/>
          <w:highlight w:val="none"/>
        </w:rPr>
        <w:t>现有设备厂家建立良好合作关系，可以获得各厂商优先的技术支持和备件服务。在十分紧急情况下，可借助第三方后备厂商资源，包括备件、技术资源、技术工程师等。</w:t>
      </w:r>
    </w:p>
    <w:p>
      <w:pPr>
        <w:spacing w:line="360" w:lineRule="auto"/>
        <w:ind w:firstLine="660" w:firstLineChars="300"/>
        <w:outlineLvl w:val="2"/>
        <w:rPr>
          <w:rFonts w:hint="eastAsia"/>
          <w:color w:val="auto"/>
          <w:highlight w:val="none"/>
        </w:rPr>
      </w:pPr>
      <w:r>
        <w:rPr>
          <w:rFonts w:hint="eastAsia"/>
          <w:bCs/>
          <w:color w:val="auto"/>
          <w:highlight w:val="none"/>
          <w:lang w:val="en-US"/>
        </w:rPr>
        <w:t>11</w:t>
      </w:r>
      <w:r>
        <w:rPr>
          <w:rFonts w:hint="eastAsia"/>
          <w:color w:val="auto"/>
          <w:highlight w:val="none"/>
        </w:rPr>
        <w:t>.6.2.4</w:t>
      </w:r>
      <w:r>
        <w:rPr>
          <w:rFonts w:hint="eastAsia"/>
          <w:color w:val="auto"/>
          <w:highlight w:val="none"/>
          <w:lang w:val="en-US"/>
        </w:rPr>
        <w:t>.</w:t>
      </w:r>
      <w:r>
        <w:rPr>
          <w:rFonts w:hint="eastAsia"/>
          <w:bCs/>
          <w:color w:val="auto"/>
          <w:highlight w:val="none"/>
        </w:rPr>
        <w:t>重大故障书面报告</w:t>
      </w:r>
    </w:p>
    <w:p>
      <w:pPr>
        <w:spacing w:line="360" w:lineRule="auto"/>
        <w:ind w:firstLine="440" w:firstLineChars="200"/>
        <w:rPr>
          <w:rFonts w:hint="eastAsia"/>
          <w:color w:val="auto"/>
          <w:highlight w:val="none"/>
        </w:rPr>
      </w:pPr>
      <w:r>
        <w:rPr>
          <w:rFonts w:hint="eastAsia"/>
          <w:color w:val="auto"/>
          <w:highlight w:val="none"/>
        </w:rPr>
        <w:t>在重大设备故障解决之后，</w:t>
      </w:r>
      <w:r>
        <w:rPr>
          <w:rFonts w:hint="eastAsia"/>
          <w:color w:val="auto"/>
          <w:highlight w:val="none"/>
          <w:lang w:val="en-US"/>
        </w:rPr>
        <w:t>成交人</w:t>
      </w:r>
      <w:r>
        <w:rPr>
          <w:rFonts w:hint="eastAsia"/>
          <w:color w:val="auto"/>
          <w:highlight w:val="none"/>
        </w:rPr>
        <w:t>应对重大故障事件形成书面报告给医院，将事故发生原因、处理方式以及如何避免再次发生的方法等内容进行详细记录，并归入设备档案库中，在项目服务期结束后统一交还医院，以便作为日后借鉴依据。</w:t>
      </w:r>
    </w:p>
    <w:p>
      <w:pPr>
        <w:spacing w:line="360" w:lineRule="auto"/>
        <w:ind w:firstLine="440" w:firstLineChars="200"/>
        <w:outlineLvl w:val="0"/>
        <w:rPr>
          <w:rFonts w:hint="eastAsia"/>
          <w:color w:val="auto"/>
          <w:highlight w:val="none"/>
        </w:rPr>
      </w:pPr>
      <w:r>
        <w:rPr>
          <w:rFonts w:hint="eastAsia"/>
          <w:bCs/>
          <w:color w:val="auto"/>
          <w:highlight w:val="none"/>
          <w:lang w:val="en-US"/>
        </w:rPr>
        <w:t>11</w:t>
      </w:r>
      <w:r>
        <w:rPr>
          <w:rFonts w:hint="eastAsia"/>
          <w:color w:val="auto"/>
          <w:highlight w:val="none"/>
        </w:rPr>
        <w:t>.7</w:t>
      </w:r>
      <w:r>
        <w:rPr>
          <w:rFonts w:hint="eastAsia"/>
          <w:color w:val="auto"/>
          <w:highlight w:val="none"/>
          <w:lang w:val="en-US"/>
        </w:rPr>
        <w:t>.</w:t>
      </w:r>
      <w:r>
        <w:rPr>
          <w:rFonts w:hint="eastAsia"/>
          <w:color w:val="auto"/>
          <w:highlight w:val="none"/>
        </w:rPr>
        <w:t>漏洞修复</w:t>
      </w:r>
    </w:p>
    <w:p>
      <w:pPr>
        <w:pStyle w:val="10"/>
        <w:spacing w:line="360" w:lineRule="auto"/>
        <w:ind w:firstLine="440" w:firstLineChars="200"/>
        <w:rPr>
          <w:rFonts w:hint="eastAsia"/>
          <w:color w:val="auto"/>
          <w:sz w:val="22"/>
          <w:szCs w:val="22"/>
          <w:highlight w:val="none"/>
        </w:rPr>
      </w:pPr>
      <w:r>
        <w:rPr>
          <w:rFonts w:hint="eastAsia"/>
          <w:color w:val="auto"/>
          <w:sz w:val="22"/>
          <w:szCs w:val="22"/>
          <w:highlight w:val="none"/>
        </w:rPr>
        <w:t>对于发现的服务器操作系统及操作系统附带软件的中高危漏洞，</w:t>
      </w:r>
      <w:r>
        <w:rPr>
          <w:rFonts w:hint="eastAsia"/>
          <w:color w:val="auto"/>
          <w:sz w:val="22"/>
          <w:szCs w:val="22"/>
          <w:highlight w:val="none"/>
          <w:lang w:val="en-US"/>
        </w:rPr>
        <w:t>成交人需</w:t>
      </w:r>
      <w:r>
        <w:rPr>
          <w:rFonts w:hint="eastAsia"/>
          <w:color w:val="auto"/>
          <w:sz w:val="22"/>
          <w:szCs w:val="22"/>
          <w:highlight w:val="none"/>
        </w:rPr>
        <w:t>在漏洞发现</w:t>
      </w:r>
      <w:r>
        <w:rPr>
          <w:rFonts w:hint="eastAsia"/>
          <w:color w:val="auto"/>
          <w:sz w:val="22"/>
          <w:szCs w:val="22"/>
          <w:highlight w:val="none"/>
          <w:lang w:val="en-US"/>
        </w:rPr>
        <w:t>时</w:t>
      </w:r>
      <w:r>
        <w:rPr>
          <w:rFonts w:hint="eastAsia"/>
          <w:color w:val="auto"/>
          <w:sz w:val="22"/>
          <w:szCs w:val="22"/>
          <w:highlight w:val="none"/>
        </w:rPr>
        <w:t>3个工作日内完成修复。</w:t>
      </w:r>
    </w:p>
    <w:p>
      <w:pPr>
        <w:pStyle w:val="10"/>
        <w:spacing w:line="360" w:lineRule="auto"/>
        <w:ind w:firstLine="440" w:firstLineChars="200"/>
        <w:rPr>
          <w:rFonts w:hint="eastAsia"/>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rPr>
        <w:t>2</w:t>
      </w:r>
      <w:r>
        <w:rPr>
          <w:rFonts w:hint="eastAsia"/>
          <w:color w:val="auto"/>
          <w:sz w:val="22"/>
          <w:szCs w:val="22"/>
          <w:highlight w:val="none"/>
          <w:lang w:val="en-US" w:eastAsia="zh-CN"/>
        </w:rPr>
        <w:t>.</w:t>
      </w:r>
      <w:r>
        <w:rPr>
          <w:rFonts w:hint="eastAsia"/>
          <w:color w:val="auto"/>
          <w:sz w:val="22"/>
          <w:szCs w:val="22"/>
          <w:highlight w:val="none"/>
        </w:rPr>
        <w:t>打印复印集中管理服务</w:t>
      </w:r>
    </w:p>
    <w:p>
      <w:pPr>
        <w:pStyle w:val="10"/>
        <w:spacing w:line="360" w:lineRule="auto"/>
        <w:ind w:firstLine="440" w:firstLineChars="200"/>
        <w:rPr>
          <w:rFonts w:hint="eastAsia"/>
          <w:color w:val="auto"/>
          <w:sz w:val="22"/>
          <w:szCs w:val="22"/>
          <w:highlight w:val="none"/>
        </w:rPr>
      </w:pPr>
      <w:r>
        <w:rPr>
          <w:rFonts w:hint="eastAsia"/>
          <w:color w:val="auto"/>
          <w:sz w:val="22"/>
          <w:szCs w:val="22"/>
          <w:highlight w:val="none"/>
          <w:lang w:val="en-US" w:eastAsia="zh-CN"/>
        </w:rPr>
        <w:t>采购人</w:t>
      </w:r>
      <w:r>
        <w:rPr>
          <w:rFonts w:hint="eastAsia"/>
          <w:color w:val="auto"/>
          <w:sz w:val="22"/>
          <w:szCs w:val="22"/>
          <w:highlight w:val="none"/>
        </w:rPr>
        <w:t>行政办公区设置打印复印集中管理场所，统一调配现有的打印复印设备使用，由</w:t>
      </w:r>
      <w:r>
        <w:rPr>
          <w:rFonts w:hint="eastAsia"/>
          <w:color w:val="auto"/>
          <w:sz w:val="22"/>
          <w:szCs w:val="22"/>
          <w:highlight w:val="none"/>
          <w:lang w:val="en-US"/>
        </w:rPr>
        <w:t>成交人</w:t>
      </w:r>
      <w:r>
        <w:rPr>
          <w:rFonts w:hint="eastAsia"/>
          <w:color w:val="auto"/>
          <w:sz w:val="22"/>
          <w:szCs w:val="22"/>
          <w:highlight w:val="none"/>
        </w:rPr>
        <w:t>提供运维服务（含设备的维修配件、耗材、打印纸张），若打印复印设备到达使用年限且不能维修时，</w:t>
      </w:r>
      <w:r>
        <w:rPr>
          <w:rFonts w:hint="eastAsia"/>
          <w:color w:val="auto"/>
          <w:sz w:val="22"/>
          <w:szCs w:val="22"/>
          <w:highlight w:val="none"/>
          <w:lang w:val="en-US"/>
        </w:rPr>
        <w:t>成交人</w:t>
      </w:r>
      <w:r>
        <w:rPr>
          <w:rFonts w:hint="eastAsia"/>
          <w:color w:val="auto"/>
          <w:sz w:val="22"/>
          <w:szCs w:val="22"/>
          <w:highlight w:val="none"/>
        </w:rPr>
        <w:t>需在合同期内提供符合使用要求的设备给</w:t>
      </w:r>
      <w:r>
        <w:rPr>
          <w:rFonts w:hint="eastAsia"/>
          <w:color w:val="auto"/>
          <w:sz w:val="22"/>
          <w:szCs w:val="22"/>
          <w:highlight w:val="none"/>
          <w:lang w:val="en-US" w:eastAsia="zh-CN"/>
        </w:rPr>
        <w:t>采购人</w:t>
      </w:r>
      <w:r>
        <w:rPr>
          <w:rFonts w:hint="eastAsia"/>
          <w:color w:val="auto"/>
          <w:sz w:val="22"/>
          <w:szCs w:val="22"/>
          <w:highlight w:val="none"/>
        </w:rPr>
        <w:t>使用，</w:t>
      </w:r>
      <w:r>
        <w:rPr>
          <w:rFonts w:hint="eastAsia"/>
          <w:color w:val="auto"/>
          <w:sz w:val="22"/>
          <w:szCs w:val="22"/>
          <w:highlight w:val="none"/>
          <w:lang w:val="en-US" w:eastAsia="zh-CN"/>
        </w:rPr>
        <w:t>采购人</w:t>
      </w:r>
      <w:r>
        <w:rPr>
          <w:rFonts w:hint="eastAsia"/>
          <w:color w:val="auto"/>
          <w:sz w:val="22"/>
          <w:szCs w:val="22"/>
          <w:highlight w:val="none"/>
        </w:rPr>
        <w:t>不再新购置设备。</w:t>
      </w:r>
    </w:p>
    <w:p>
      <w:pPr>
        <w:spacing w:line="360" w:lineRule="auto"/>
        <w:ind w:firstLine="440" w:firstLineChars="200"/>
        <w:outlineLvl w:val="2"/>
        <w:rPr>
          <w:rFonts w:hint="eastAsia"/>
          <w:color w:val="auto"/>
          <w:highlight w:val="none"/>
        </w:rPr>
      </w:pPr>
      <w:r>
        <w:rPr>
          <w:rFonts w:hint="eastAsia"/>
          <w:color w:val="auto"/>
          <w:highlight w:val="none"/>
        </w:rPr>
        <w:t xml:space="preserve"> </w:t>
      </w:r>
      <w:r>
        <w:rPr>
          <w:rFonts w:hint="eastAsia"/>
          <w:bCs/>
          <w:color w:val="auto"/>
          <w:highlight w:val="none"/>
          <w:lang w:val="en-US"/>
        </w:rPr>
        <w:t>13</w:t>
      </w:r>
      <w:r>
        <w:rPr>
          <w:rFonts w:hint="eastAsia"/>
          <w:color w:val="auto"/>
          <w:highlight w:val="none"/>
          <w:lang w:val="en-US"/>
        </w:rPr>
        <w:t>. 弱电线路</w:t>
      </w:r>
      <w:r>
        <w:rPr>
          <w:rFonts w:hint="eastAsia"/>
          <w:color w:val="auto"/>
          <w:highlight w:val="none"/>
          <w:lang w:val="en-US" w:eastAsia="zh-CN"/>
        </w:rPr>
        <w:t>敷设及</w:t>
      </w:r>
      <w:r>
        <w:rPr>
          <w:rFonts w:hint="eastAsia"/>
          <w:color w:val="auto"/>
          <w:highlight w:val="none"/>
          <w:lang w:val="en-US"/>
        </w:rPr>
        <w:t>整理服务</w:t>
      </w:r>
    </w:p>
    <w:p>
      <w:pPr>
        <w:tabs>
          <w:tab w:val="decimal" w:pos="315"/>
          <w:tab w:val="left" w:pos="630"/>
        </w:tabs>
        <w:spacing w:line="360" w:lineRule="auto"/>
        <w:ind w:firstLine="440" w:firstLineChars="200"/>
        <w:outlineLvl w:val="1"/>
        <w:rPr>
          <w:rFonts w:hint="default"/>
          <w:color w:val="auto"/>
          <w:highlight w:val="none"/>
          <w:lang w:val="en-US" w:eastAsia="zh-CN"/>
        </w:rPr>
      </w:pPr>
      <w:r>
        <w:rPr>
          <w:rFonts w:hint="eastAsia"/>
          <w:color w:val="auto"/>
          <w:highlight w:val="none"/>
          <w:lang w:val="en-US" w:eastAsia="zh-CN"/>
        </w:rPr>
        <w:t>服务期内，当采购人需要在机房与弱电间、弱电间与设备所在房间等之间进行弱电线路敷设时，</w:t>
      </w:r>
      <w:r>
        <w:rPr>
          <w:rFonts w:hint="eastAsia"/>
          <w:color w:val="auto"/>
          <w:highlight w:val="none"/>
          <w:lang w:val="en-US"/>
        </w:rPr>
        <w:t>成交人需负责</w:t>
      </w:r>
      <w:r>
        <w:rPr>
          <w:rFonts w:hint="eastAsia"/>
          <w:color w:val="auto"/>
          <w:highlight w:val="none"/>
          <w:lang w:val="en-US" w:eastAsia="zh-CN"/>
        </w:rPr>
        <w:t>完成布线工作，含线路敷设、线槽线管安装、熔纤、水晶头安装、墙体钻孔等。成交人布线前需提供布线设计图给采购人确认后方可开展敷设工作，布线所需耗材（含光纤及光纤收发器、网线及末端交换机、电话线、门禁线路、水晶头等）、人工、布线所需工具均由成交人承担。成交人弱电布线时要求必须敷设符合国家标准的耗材，其中网线须达到超五类以上标准。</w:t>
      </w:r>
    </w:p>
    <w:p>
      <w:pPr>
        <w:tabs>
          <w:tab w:val="decimal" w:pos="315"/>
          <w:tab w:val="left" w:pos="630"/>
        </w:tabs>
        <w:spacing w:line="360" w:lineRule="auto"/>
        <w:ind w:firstLine="440" w:firstLineChars="200"/>
        <w:outlineLvl w:val="1"/>
        <w:rPr>
          <w:color w:val="auto"/>
          <w:highlight w:val="none"/>
          <w:lang w:val="en-US"/>
        </w:rPr>
      </w:pPr>
      <w:bookmarkStart w:id="5" w:name="OLE_LINK3"/>
      <w:r>
        <w:rPr>
          <w:rFonts w:hint="eastAsia"/>
          <w:color w:val="auto"/>
          <w:highlight w:val="none"/>
          <w:lang w:val="en-US"/>
        </w:rPr>
        <w:t>成交人需负责</w:t>
      </w:r>
      <w:bookmarkEnd w:id="5"/>
      <w:r>
        <w:rPr>
          <w:rFonts w:hint="eastAsia"/>
          <w:color w:val="auto"/>
          <w:highlight w:val="none"/>
          <w:lang w:val="en-US"/>
        </w:rPr>
        <w:t>对采购人机房、配电间内弱电线路进行归类整理，并使用标签进行标注，保证各类设备接入线路整洁、美观、查找方便。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pStyle w:val="5"/>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
    <w:nsid w:val="6A0F4C53"/>
    <w:multiLevelType w:val="singleLevel"/>
    <w:tmpl w:val="6A0F4C53"/>
    <w:lvl w:ilvl="0" w:tentative="0">
      <w:start w:val="1"/>
      <w:numFmt w:val="decimal"/>
      <w:lvlText w:val="(%1)"/>
      <w:lvlJc w:val="left"/>
      <w:pPr>
        <w:ind w:left="425" w:hanging="425"/>
      </w:pPr>
      <w:rPr>
        <w:rFonts w:hint="default"/>
      </w:rPr>
    </w:lvl>
  </w:abstractNum>
  <w:abstractNum w:abstractNumId="2">
    <w:nsid w:val="795928AF"/>
    <w:multiLevelType w:val="multilevel"/>
    <w:tmpl w:val="795928AF"/>
    <w:lvl w:ilvl="0" w:tentative="0">
      <w:start w:val="1"/>
      <w:numFmt w:val="decimal"/>
      <w:lvlText w:val="%1"/>
      <w:lvlJc w:val="center"/>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807"/>
    <w:rsid w:val="002557DB"/>
    <w:rsid w:val="00850807"/>
    <w:rsid w:val="00C87E2F"/>
    <w:rsid w:val="046B3A2F"/>
    <w:rsid w:val="16385733"/>
    <w:rsid w:val="1A95223A"/>
    <w:rsid w:val="44F96DA0"/>
    <w:rsid w:val="5AEB66D6"/>
    <w:rsid w:val="62F02F49"/>
    <w:rsid w:val="64CC4922"/>
    <w:rsid w:val="6C7A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1"/>
    <w:basedOn w:val="1"/>
    <w:next w:val="1"/>
    <w:link w:val="37"/>
    <w:qFormat/>
    <w:uiPriority w:val="1"/>
    <w:pPr>
      <w:spacing w:before="5"/>
      <w:ind w:right="158"/>
      <w:jc w:val="center"/>
      <w:outlineLvl w:val="0"/>
    </w:pPr>
    <w:rPr>
      <w:b/>
      <w:bCs/>
      <w:sz w:val="72"/>
      <w:szCs w:val="72"/>
    </w:rPr>
  </w:style>
  <w:style w:type="paragraph" w:styleId="3">
    <w:name w:val="heading 2"/>
    <w:basedOn w:val="1"/>
    <w:next w:val="1"/>
    <w:link w:val="38"/>
    <w:qFormat/>
    <w:uiPriority w:val="1"/>
    <w:pPr>
      <w:spacing w:before="54"/>
      <w:ind w:left="1323"/>
      <w:outlineLvl w:val="1"/>
    </w:pPr>
    <w:rPr>
      <w:b/>
      <w:bCs/>
      <w:sz w:val="32"/>
      <w:szCs w:val="32"/>
    </w:rPr>
  </w:style>
  <w:style w:type="paragraph" w:styleId="4">
    <w:name w:val="heading 3"/>
    <w:basedOn w:val="1"/>
    <w:next w:val="1"/>
    <w:link w:val="39"/>
    <w:qFormat/>
    <w:uiPriority w:val="0"/>
    <w:pPr>
      <w:keepNext/>
      <w:keepLines/>
      <w:numPr>
        <w:ilvl w:val="2"/>
        <w:numId w:val="1"/>
      </w:numPr>
      <w:adjustRightInd w:val="0"/>
      <w:spacing w:before="260" w:after="260" w:line="416" w:lineRule="atLeast"/>
      <w:textAlignment w:val="baseline"/>
      <w:outlineLvl w:val="2"/>
    </w:pPr>
    <w:rPr>
      <w:b/>
      <w:sz w:val="32"/>
      <w:szCs w:val="20"/>
    </w:rPr>
  </w:style>
  <w:style w:type="paragraph" w:styleId="5">
    <w:name w:val="heading 4"/>
    <w:basedOn w:val="1"/>
    <w:next w:val="1"/>
    <w:link w:val="40"/>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6">
    <w:name w:val="heading 5"/>
    <w:basedOn w:val="1"/>
    <w:next w:val="1"/>
    <w:link w:val="41"/>
    <w:qFormat/>
    <w:uiPriority w:val="1"/>
    <w:pPr>
      <w:ind w:left="312" w:hanging="207"/>
      <w:outlineLvl w:val="4"/>
    </w:pPr>
    <w:rPr>
      <w:b/>
      <w:bCs/>
      <w:sz w:val="19"/>
      <w:szCs w:val="19"/>
    </w:rPr>
  </w:style>
  <w:style w:type="paragraph" w:styleId="7">
    <w:name w:val="heading 6"/>
    <w:basedOn w:val="1"/>
    <w:next w:val="1"/>
    <w:link w:val="42"/>
    <w:qFormat/>
    <w:uiPriority w:val="0"/>
    <w:pPr>
      <w:tabs>
        <w:tab w:val="decimal" w:pos="315"/>
        <w:tab w:val="left" w:pos="630"/>
      </w:tabs>
      <w:spacing w:before="100" w:beforeAutospacing="1" w:after="100" w:afterAutospacing="1"/>
      <w:outlineLvl w:val="5"/>
    </w:pPr>
    <w:rPr>
      <w:rFonts w:hint="eastAsia" w:cs="Times New Roman"/>
      <w:b/>
      <w:sz w:val="15"/>
      <w:szCs w:val="15"/>
      <w:lang w:val="en-US" w:bidi="ar-SA"/>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table of authorities"/>
    <w:basedOn w:val="1"/>
    <w:next w:val="1"/>
    <w:unhideWhenUsed/>
    <w:qFormat/>
    <w:uiPriority w:val="99"/>
    <w:pPr>
      <w:tabs>
        <w:tab w:val="decimal" w:pos="315"/>
        <w:tab w:val="left" w:pos="630"/>
      </w:tabs>
      <w:ind w:left="420" w:leftChars="200"/>
    </w:pPr>
  </w:style>
  <w:style w:type="paragraph" w:styleId="9">
    <w:name w:val="Normal Indent"/>
    <w:basedOn w:val="1"/>
    <w:next w:val="10"/>
    <w:qFormat/>
    <w:uiPriority w:val="0"/>
    <w:pPr>
      <w:widowControl/>
      <w:ind w:firstLine="420"/>
    </w:pPr>
    <w:rPr>
      <w:sz w:val="20"/>
      <w:szCs w:val="20"/>
    </w:rPr>
  </w:style>
  <w:style w:type="paragraph" w:styleId="10">
    <w:name w:val="Body Text"/>
    <w:basedOn w:val="1"/>
    <w:next w:val="11"/>
    <w:link w:val="43"/>
    <w:qFormat/>
    <w:uiPriority w:val="1"/>
    <w:rPr>
      <w:sz w:val="24"/>
      <w:szCs w:val="24"/>
      <w:lang w:eastAsia="zh-CN"/>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12">
    <w:name w:val="caption"/>
    <w:basedOn w:val="1"/>
    <w:next w:val="1"/>
    <w:qFormat/>
    <w:uiPriority w:val="0"/>
    <w:rPr>
      <w:rFonts w:ascii="Arial" w:hAnsi="Arial" w:eastAsia="黑体" w:cs="Arial"/>
      <w:sz w:val="20"/>
      <w:szCs w:val="20"/>
    </w:rPr>
  </w:style>
  <w:style w:type="paragraph" w:styleId="13">
    <w:name w:val="annotation text"/>
    <w:basedOn w:val="1"/>
    <w:link w:val="44"/>
    <w:qFormat/>
    <w:uiPriority w:val="0"/>
    <w:rPr>
      <w:lang w:eastAsia="zh-CN"/>
    </w:rPr>
  </w:style>
  <w:style w:type="paragraph" w:styleId="14">
    <w:name w:val="Body Text 3"/>
    <w:basedOn w:val="1"/>
    <w:link w:val="45"/>
    <w:qFormat/>
    <w:uiPriority w:val="0"/>
    <w:pPr>
      <w:spacing w:after="120"/>
    </w:pPr>
    <w:rPr>
      <w:sz w:val="16"/>
      <w:szCs w:val="16"/>
    </w:rPr>
  </w:style>
  <w:style w:type="paragraph" w:styleId="15">
    <w:name w:val="Body Text Indent"/>
    <w:basedOn w:val="1"/>
    <w:link w:val="46"/>
    <w:qFormat/>
    <w:uiPriority w:val="0"/>
    <w:pPr>
      <w:adjustRightInd w:val="0"/>
      <w:spacing w:line="360" w:lineRule="auto"/>
      <w:ind w:firstLine="480"/>
    </w:pPr>
    <w:rPr>
      <w:sz w:val="24"/>
    </w:rPr>
  </w:style>
  <w:style w:type="paragraph" w:styleId="16">
    <w:name w:val="toc 5"/>
    <w:basedOn w:val="1"/>
    <w:next w:val="1"/>
    <w:qFormat/>
    <w:uiPriority w:val="0"/>
    <w:pPr>
      <w:ind w:left="840"/>
    </w:pPr>
    <w:rPr>
      <w:rFonts w:ascii="Calibri" w:hAnsi="Calibri"/>
      <w:sz w:val="18"/>
      <w:szCs w:val="18"/>
    </w:rPr>
  </w:style>
  <w:style w:type="paragraph" w:styleId="17">
    <w:name w:val="Plain Text"/>
    <w:basedOn w:val="1"/>
    <w:link w:val="47"/>
    <w:qFormat/>
    <w:uiPriority w:val="0"/>
    <w:rPr>
      <w:rFonts w:hAnsi="Courier New"/>
      <w:sz w:val="20"/>
      <w:szCs w:val="21"/>
    </w:rPr>
  </w:style>
  <w:style w:type="paragraph" w:styleId="18">
    <w:name w:val="Balloon Text"/>
    <w:basedOn w:val="1"/>
    <w:link w:val="48"/>
    <w:qFormat/>
    <w:uiPriority w:val="0"/>
    <w:rPr>
      <w:sz w:val="18"/>
      <w:szCs w:val="18"/>
      <w:lang w:eastAsia="zh-CN"/>
    </w:rPr>
  </w:style>
  <w:style w:type="paragraph" w:styleId="19">
    <w:name w:val="footer"/>
    <w:basedOn w:val="1"/>
    <w:link w:val="49"/>
    <w:qFormat/>
    <w:uiPriority w:val="0"/>
    <w:pPr>
      <w:tabs>
        <w:tab w:val="center" w:pos="4153"/>
        <w:tab w:val="right" w:pos="8306"/>
      </w:tabs>
      <w:snapToGrid w:val="0"/>
    </w:pPr>
    <w:rPr>
      <w:sz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2">
    <w:name w:val="toc 1"/>
    <w:basedOn w:val="1"/>
    <w:next w:val="1"/>
    <w:semiHidden/>
    <w:qFormat/>
    <w:uiPriority w:val="0"/>
    <w:pPr>
      <w:jc w:val="center"/>
    </w:pPr>
    <w:rPr>
      <w:b/>
      <w:sz w:val="28"/>
      <w:szCs w:val="28"/>
    </w:rPr>
  </w:style>
  <w:style w:type="paragraph" w:styleId="23">
    <w:name w:val="index heading"/>
    <w:basedOn w:val="1"/>
    <w:next w:val="24"/>
    <w:qFormat/>
    <w:uiPriority w:val="0"/>
    <w:rPr>
      <w:szCs w:val="20"/>
    </w:rPr>
  </w:style>
  <w:style w:type="paragraph" w:styleId="24">
    <w:name w:val="index 1"/>
    <w:basedOn w:val="1"/>
    <w:next w:val="1"/>
    <w:unhideWhenUsed/>
    <w:qFormat/>
    <w:uiPriority w:val="0"/>
  </w:style>
  <w:style w:type="paragraph" w:styleId="25">
    <w:name w:val="HTML Preformatted"/>
    <w:basedOn w:val="1"/>
    <w:link w:val="5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bidi="ar-SA"/>
    </w:rPr>
  </w:style>
  <w:style w:type="paragraph" w:styleId="26">
    <w:name w:val="Normal (Web)"/>
    <w:basedOn w:val="1"/>
    <w:qFormat/>
    <w:uiPriority w:val="0"/>
    <w:pPr>
      <w:widowControl/>
      <w:spacing w:beforeAutospacing="1" w:afterAutospacing="1"/>
    </w:pPr>
    <w:rPr>
      <w:sz w:val="24"/>
    </w:rPr>
  </w:style>
  <w:style w:type="paragraph" w:styleId="27">
    <w:name w:val="annotation subject"/>
    <w:basedOn w:val="13"/>
    <w:next w:val="13"/>
    <w:link w:val="52"/>
    <w:qFormat/>
    <w:uiPriority w:val="0"/>
    <w:rPr>
      <w:b/>
      <w:bCs/>
    </w:rPr>
  </w:style>
  <w:style w:type="paragraph" w:styleId="28">
    <w:name w:val="Body Text First Indent"/>
    <w:basedOn w:val="10"/>
    <w:next w:val="1"/>
    <w:link w:val="53"/>
    <w:qFormat/>
    <w:uiPriority w:val="0"/>
    <w:pPr>
      <w:tabs>
        <w:tab w:val="decimal" w:pos="315"/>
        <w:tab w:val="left" w:pos="630"/>
      </w:tabs>
      <w:ind w:firstLine="420" w:firstLineChars="100"/>
    </w:pPr>
  </w:style>
  <w:style w:type="paragraph" w:styleId="29">
    <w:name w:val="Body Text First Indent 2"/>
    <w:basedOn w:val="15"/>
    <w:next w:val="1"/>
    <w:link w:val="54"/>
    <w:qFormat/>
    <w:uiPriority w:val="0"/>
    <w:pPr>
      <w:autoSpaceDE/>
      <w:autoSpaceDN/>
      <w:adjustRightInd/>
      <w:snapToGrid w:val="0"/>
      <w:spacing w:after="120"/>
      <w:ind w:left="420" w:firstLine="200" w:firstLineChars="200"/>
      <w:jc w:val="both"/>
    </w:pPr>
    <w:rPr>
      <w:rFonts w:ascii="Tahoma" w:hAnsi="Tahoma"/>
      <w:kern w:val="2"/>
      <w:sz w:val="28"/>
    </w:rPr>
  </w:style>
  <w:style w:type="table" w:styleId="31">
    <w:name w:val="Table Grid"/>
    <w:basedOn w:val="3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page number"/>
    <w:qFormat/>
    <w:uiPriority w:val="0"/>
  </w:style>
  <w:style w:type="character" w:styleId="35">
    <w:name w:val="Emphasis"/>
    <w:qFormat/>
    <w:uiPriority w:val="0"/>
    <w:rPr>
      <w:i/>
    </w:rPr>
  </w:style>
  <w:style w:type="character" w:styleId="36">
    <w:name w:val="annotation reference"/>
    <w:qFormat/>
    <w:uiPriority w:val="0"/>
    <w:rPr>
      <w:sz w:val="21"/>
      <w:szCs w:val="21"/>
    </w:rPr>
  </w:style>
  <w:style w:type="character" w:customStyle="1" w:styleId="37">
    <w:name w:val="标题 1 Char"/>
    <w:basedOn w:val="32"/>
    <w:link w:val="2"/>
    <w:qFormat/>
    <w:uiPriority w:val="1"/>
    <w:rPr>
      <w:rFonts w:ascii="宋体" w:hAnsi="宋体" w:eastAsia="宋体" w:cs="宋体"/>
      <w:b/>
      <w:bCs/>
      <w:kern w:val="0"/>
      <w:sz w:val="72"/>
      <w:szCs w:val="72"/>
      <w:lang w:val="zh-CN" w:bidi="zh-CN"/>
    </w:rPr>
  </w:style>
  <w:style w:type="character" w:customStyle="1" w:styleId="38">
    <w:name w:val="标题 2 Char"/>
    <w:basedOn w:val="32"/>
    <w:link w:val="3"/>
    <w:qFormat/>
    <w:uiPriority w:val="1"/>
    <w:rPr>
      <w:rFonts w:ascii="宋体" w:hAnsi="宋体" w:eastAsia="宋体" w:cs="宋体"/>
      <w:b/>
      <w:bCs/>
      <w:kern w:val="0"/>
      <w:sz w:val="32"/>
      <w:szCs w:val="32"/>
      <w:lang w:val="zh-CN" w:bidi="zh-CN"/>
    </w:rPr>
  </w:style>
  <w:style w:type="character" w:customStyle="1" w:styleId="39">
    <w:name w:val="标题 3 Char"/>
    <w:basedOn w:val="32"/>
    <w:link w:val="4"/>
    <w:qFormat/>
    <w:uiPriority w:val="0"/>
    <w:rPr>
      <w:rFonts w:ascii="宋体" w:hAnsi="宋体" w:eastAsia="宋体" w:cs="宋体"/>
      <w:b/>
      <w:kern w:val="0"/>
      <w:sz w:val="32"/>
      <w:szCs w:val="20"/>
      <w:lang w:val="zh-CN" w:bidi="zh-CN"/>
    </w:rPr>
  </w:style>
  <w:style w:type="character" w:customStyle="1" w:styleId="40">
    <w:name w:val="标题 4 Char"/>
    <w:basedOn w:val="32"/>
    <w:link w:val="5"/>
    <w:qFormat/>
    <w:uiPriority w:val="0"/>
    <w:rPr>
      <w:rFonts w:ascii="Arial" w:hAnsi="Arial" w:eastAsia="黑体" w:cs="宋体"/>
      <w:b/>
      <w:kern w:val="0"/>
      <w:sz w:val="28"/>
      <w:szCs w:val="20"/>
      <w:lang w:val="zh-CN" w:bidi="zh-CN"/>
    </w:rPr>
  </w:style>
  <w:style w:type="character" w:customStyle="1" w:styleId="41">
    <w:name w:val="标题 5 Char"/>
    <w:basedOn w:val="32"/>
    <w:link w:val="6"/>
    <w:qFormat/>
    <w:uiPriority w:val="1"/>
    <w:rPr>
      <w:rFonts w:ascii="宋体" w:hAnsi="宋体" w:eastAsia="宋体" w:cs="宋体"/>
      <w:b/>
      <w:bCs/>
      <w:kern w:val="0"/>
      <w:sz w:val="19"/>
      <w:szCs w:val="19"/>
      <w:lang w:val="zh-CN" w:bidi="zh-CN"/>
    </w:rPr>
  </w:style>
  <w:style w:type="character" w:customStyle="1" w:styleId="42">
    <w:name w:val="标题 6 Char"/>
    <w:basedOn w:val="32"/>
    <w:link w:val="7"/>
    <w:qFormat/>
    <w:uiPriority w:val="0"/>
    <w:rPr>
      <w:rFonts w:ascii="宋体" w:hAnsi="宋体" w:eastAsia="宋体" w:cs="Times New Roman"/>
      <w:b/>
      <w:kern w:val="0"/>
      <w:sz w:val="15"/>
      <w:szCs w:val="15"/>
    </w:rPr>
  </w:style>
  <w:style w:type="character" w:customStyle="1" w:styleId="43">
    <w:name w:val="正文文本 Char"/>
    <w:basedOn w:val="32"/>
    <w:link w:val="10"/>
    <w:qFormat/>
    <w:uiPriority w:val="1"/>
    <w:rPr>
      <w:rFonts w:ascii="宋体" w:hAnsi="宋体" w:eastAsia="宋体" w:cs="宋体"/>
      <w:kern w:val="0"/>
      <w:sz w:val="24"/>
      <w:szCs w:val="24"/>
      <w:lang w:val="zh-CN" w:eastAsia="zh-CN" w:bidi="zh-CN"/>
    </w:rPr>
  </w:style>
  <w:style w:type="character" w:customStyle="1" w:styleId="44">
    <w:name w:val="批注文字 Char"/>
    <w:basedOn w:val="32"/>
    <w:link w:val="13"/>
    <w:qFormat/>
    <w:uiPriority w:val="0"/>
    <w:rPr>
      <w:rFonts w:ascii="宋体" w:hAnsi="宋体" w:eastAsia="宋体" w:cs="宋体"/>
      <w:kern w:val="0"/>
      <w:sz w:val="22"/>
      <w:lang w:val="zh-CN" w:eastAsia="zh-CN" w:bidi="zh-CN"/>
    </w:rPr>
  </w:style>
  <w:style w:type="character" w:customStyle="1" w:styleId="45">
    <w:name w:val="正文文本 3 Char"/>
    <w:basedOn w:val="32"/>
    <w:link w:val="14"/>
    <w:qFormat/>
    <w:uiPriority w:val="0"/>
    <w:rPr>
      <w:rFonts w:ascii="宋体" w:hAnsi="宋体" w:eastAsia="宋体" w:cs="宋体"/>
      <w:kern w:val="0"/>
      <w:sz w:val="16"/>
      <w:szCs w:val="16"/>
      <w:lang w:val="zh-CN" w:bidi="zh-CN"/>
    </w:rPr>
  </w:style>
  <w:style w:type="character" w:customStyle="1" w:styleId="46">
    <w:name w:val="正文文本缩进 Char"/>
    <w:basedOn w:val="32"/>
    <w:link w:val="15"/>
    <w:qFormat/>
    <w:uiPriority w:val="0"/>
    <w:rPr>
      <w:rFonts w:ascii="宋体" w:hAnsi="宋体" w:eastAsia="宋体" w:cs="宋体"/>
      <w:kern w:val="0"/>
      <w:sz w:val="24"/>
      <w:lang w:val="zh-CN" w:bidi="zh-CN"/>
    </w:rPr>
  </w:style>
  <w:style w:type="character" w:customStyle="1" w:styleId="47">
    <w:name w:val="纯文本 Char"/>
    <w:basedOn w:val="32"/>
    <w:link w:val="17"/>
    <w:qFormat/>
    <w:uiPriority w:val="0"/>
    <w:rPr>
      <w:rFonts w:ascii="宋体" w:hAnsi="Courier New" w:eastAsia="宋体" w:cs="宋体"/>
      <w:kern w:val="0"/>
      <w:sz w:val="20"/>
      <w:szCs w:val="21"/>
      <w:lang w:val="zh-CN" w:bidi="zh-CN"/>
    </w:rPr>
  </w:style>
  <w:style w:type="character" w:customStyle="1" w:styleId="48">
    <w:name w:val="批注框文本 Char"/>
    <w:basedOn w:val="32"/>
    <w:link w:val="18"/>
    <w:qFormat/>
    <w:uiPriority w:val="0"/>
    <w:rPr>
      <w:rFonts w:ascii="宋体" w:hAnsi="宋体" w:eastAsia="宋体" w:cs="宋体"/>
      <w:kern w:val="0"/>
      <w:sz w:val="18"/>
      <w:szCs w:val="18"/>
      <w:lang w:val="zh-CN" w:eastAsia="zh-CN" w:bidi="zh-CN"/>
    </w:rPr>
  </w:style>
  <w:style w:type="character" w:customStyle="1" w:styleId="49">
    <w:name w:val="页脚 Char"/>
    <w:basedOn w:val="32"/>
    <w:link w:val="19"/>
    <w:qFormat/>
    <w:uiPriority w:val="0"/>
    <w:rPr>
      <w:rFonts w:ascii="宋体" w:hAnsi="宋体" w:eastAsia="宋体" w:cs="宋体"/>
      <w:kern w:val="0"/>
      <w:sz w:val="18"/>
      <w:lang w:val="zh-CN" w:bidi="zh-CN"/>
    </w:rPr>
  </w:style>
  <w:style w:type="character" w:customStyle="1" w:styleId="50">
    <w:name w:val="页眉 Char"/>
    <w:basedOn w:val="32"/>
    <w:link w:val="21"/>
    <w:qFormat/>
    <w:uiPriority w:val="0"/>
    <w:rPr>
      <w:rFonts w:ascii="宋体" w:hAnsi="宋体" w:eastAsia="宋体" w:cs="宋体"/>
      <w:kern w:val="0"/>
      <w:sz w:val="18"/>
      <w:lang w:val="zh-CN" w:bidi="zh-CN"/>
    </w:rPr>
  </w:style>
  <w:style w:type="character" w:customStyle="1" w:styleId="51">
    <w:name w:val="HTML 预设格式 Char"/>
    <w:basedOn w:val="32"/>
    <w:link w:val="25"/>
    <w:qFormat/>
    <w:uiPriority w:val="0"/>
    <w:rPr>
      <w:rFonts w:ascii="宋体" w:hAnsi="宋体" w:eastAsia="宋体" w:cs="Times New Roman"/>
      <w:kern w:val="0"/>
      <w:sz w:val="24"/>
      <w:szCs w:val="24"/>
    </w:rPr>
  </w:style>
  <w:style w:type="character" w:customStyle="1" w:styleId="52">
    <w:name w:val="批注主题 Char"/>
    <w:basedOn w:val="44"/>
    <w:link w:val="27"/>
    <w:qFormat/>
    <w:uiPriority w:val="0"/>
    <w:rPr>
      <w:rFonts w:ascii="宋体" w:hAnsi="宋体" w:eastAsia="宋体" w:cs="宋体"/>
      <w:b/>
      <w:bCs/>
      <w:kern w:val="0"/>
      <w:sz w:val="22"/>
      <w:lang w:val="zh-CN" w:eastAsia="zh-CN" w:bidi="zh-CN"/>
    </w:rPr>
  </w:style>
  <w:style w:type="character" w:customStyle="1" w:styleId="53">
    <w:name w:val="正文首行缩进 Char"/>
    <w:basedOn w:val="43"/>
    <w:link w:val="28"/>
    <w:qFormat/>
    <w:uiPriority w:val="0"/>
    <w:rPr>
      <w:rFonts w:ascii="宋体" w:hAnsi="宋体" w:eastAsia="宋体" w:cs="宋体"/>
      <w:kern w:val="0"/>
      <w:sz w:val="24"/>
      <w:szCs w:val="24"/>
      <w:lang w:val="zh-CN" w:eastAsia="zh-CN" w:bidi="zh-CN"/>
    </w:rPr>
  </w:style>
  <w:style w:type="character" w:customStyle="1" w:styleId="54">
    <w:name w:val="正文首行缩进 2 Char"/>
    <w:basedOn w:val="46"/>
    <w:link w:val="29"/>
    <w:qFormat/>
    <w:uiPriority w:val="0"/>
    <w:rPr>
      <w:rFonts w:ascii="Tahoma" w:hAnsi="Tahoma" w:eastAsia="宋体" w:cs="宋体"/>
      <w:kern w:val="0"/>
      <w:sz w:val="28"/>
      <w:lang w:val="zh-CN" w:bidi="zh-CN"/>
    </w:rPr>
  </w:style>
  <w:style w:type="paragraph" w:customStyle="1" w:styleId="55">
    <w:name w:val="表格文字"/>
    <w:basedOn w:val="56"/>
    <w:next w:val="10"/>
    <w:qFormat/>
    <w:uiPriority w:val="0"/>
    <w:pPr>
      <w:tabs>
        <w:tab w:val="decimal" w:pos="315"/>
        <w:tab w:val="left" w:pos="630"/>
      </w:tabs>
      <w:spacing w:before="25" w:after="25"/>
    </w:pPr>
    <w:rPr>
      <w:rFonts w:hint="eastAsia"/>
      <w:spacing w:val="10"/>
      <w:sz w:val="24"/>
      <w:szCs w:val="20"/>
    </w:rPr>
  </w:style>
  <w:style w:type="paragraph" w:customStyle="1" w:styleId="56">
    <w:name w:val="表格文字（两侧对齐）"/>
    <w:basedOn w:val="1"/>
    <w:qFormat/>
    <w:uiPriority w:val="0"/>
    <w:pPr>
      <w:tabs>
        <w:tab w:val="decimal" w:pos="315"/>
        <w:tab w:val="left" w:pos="630"/>
      </w:tabs>
      <w:snapToGrid w:val="0"/>
    </w:pPr>
    <w:rPr>
      <w:rFonts w:ascii="Calibri" w:hAnsi="Calibri"/>
      <w:sz w:val="20"/>
    </w:rPr>
  </w:style>
  <w:style w:type="character" w:customStyle="1" w:styleId="57">
    <w:name w:val="font41"/>
    <w:qFormat/>
    <w:uiPriority w:val="0"/>
    <w:rPr>
      <w:rFonts w:ascii="Arial" w:hAnsi="Arial" w:cs="Arial"/>
      <w:color w:val="000000"/>
      <w:sz w:val="21"/>
      <w:szCs w:val="21"/>
      <w:u w:val="none"/>
    </w:rPr>
  </w:style>
  <w:style w:type="character" w:customStyle="1" w:styleId="58">
    <w:name w:val="font21"/>
    <w:qFormat/>
    <w:uiPriority w:val="0"/>
    <w:rPr>
      <w:rFonts w:hint="eastAsia" w:ascii="宋体" w:hAnsi="宋体" w:eastAsia="宋体" w:cs="宋体"/>
      <w:color w:val="000000"/>
      <w:sz w:val="22"/>
      <w:szCs w:val="22"/>
      <w:u w:val="none"/>
    </w:rPr>
  </w:style>
  <w:style w:type="character" w:customStyle="1" w:styleId="59">
    <w:name w:val="页码1"/>
    <w:qFormat/>
    <w:uiPriority w:val="0"/>
  </w:style>
  <w:style w:type="character" w:customStyle="1" w:styleId="60">
    <w:name w:val="font11"/>
    <w:qFormat/>
    <w:uiPriority w:val="0"/>
    <w:rPr>
      <w:rFonts w:hint="eastAsia" w:ascii="宋体" w:hAnsi="宋体" w:eastAsia="宋体" w:cs="宋体"/>
      <w:color w:val="000000"/>
      <w:sz w:val="24"/>
      <w:szCs w:val="24"/>
      <w:u w:val="none"/>
    </w:rPr>
  </w:style>
  <w:style w:type="character" w:customStyle="1" w:styleId="61">
    <w:name w:val="font31"/>
    <w:qFormat/>
    <w:uiPriority w:val="0"/>
    <w:rPr>
      <w:rFonts w:hint="eastAsia" w:ascii="宋体" w:hAnsi="宋体" w:eastAsia="宋体" w:cs="宋体"/>
      <w:b/>
      <w:color w:val="000000"/>
      <w:sz w:val="22"/>
      <w:szCs w:val="22"/>
      <w:u w:val="none"/>
    </w:rPr>
  </w:style>
  <w:style w:type="paragraph" w:customStyle="1" w:styleId="62">
    <w:name w:val="题注5"/>
    <w:basedOn w:val="1"/>
    <w:next w:val="12"/>
    <w:qFormat/>
    <w:uiPriority w:val="0"/>
    <w:pPr>
      <w:jc w:val="center"/>
    </w:pPr>
    <w:rPr>
      <w:b/>
      <w:color w:val="000000"/>
      <w:sz w:val="24"/>
      <w:szCs w:val="21"/>
    </w:rPr>
  </w:style>
  <w:style w:type="paragraph" w:customStyle="1" w:styleId="63">
    <w:name w:val="*正文"/>
    <w:basedOn w:val="1"/>
    <w:qFormat/>
    <w:uiPriority w:val="0"/>
    <w:pPr>
      <w:adjustRightInd w:val="0"/>
      <w:snapToGrid w:val="0"/>
      <w:spacing w:line="360" w:lineRule="auto"/>
      <w:ind w:firstLine="200" w:firstLineChars="200"/>
    </w:pPr>
    <w:rPr>
      <w:sz w:val="24"/>
      <w:szCs w:val="24"/>
    </w:rPr>
  </w:style>
  <w:style w:type="paragraph" w:customStyle="1" w:styleId="64">
    <w:name w:val="正文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5">
    <w:name w:val="Heading #2|1"/>
    <w:basedOn w:val="1"/>
    <w:qFormat/>
    <w:uiPriority w:val="0"/>
    <w:pPr>
      <w:spacing w:line="418" w:lineRule="exact"/>
      <w:outlineLvl w:val="1"/>
    </w:pPr>
    <w:rPr>
      <w:lang w:val="zh-TW" w:eastAsia="zh-TW" w:bidi="zh-TW"/>
    </w:rPr>
  </w:style>
  <w:style w:type="paragraph" w:customStyle="1" w:styleId="66">
    <w:name w:val="技术文档正文"/>
    <w:basedOn w:val="1"/>
    <w:qFormat/>
    <w:uiPriority w:val="0"/>
    <w:pPr>
      <w:spacing w:line="360" w:lineRule="auto"/>
      <w:ind w:firstLine="200" w:firstLineChars="200"/>
      <w:jc w:val="both"/>
    </w:pPr>
    <w:rPr>
      <w:kern w:val="2"/>
      <w:sz w:val="24"/>
      <w:szCs w:val="21"/>
    </w:rPr>
  </w:style>
  <w:style w:type="paragraph" w:customStyle="1" w:styleId="67">
    <w:name w:val="正文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68">
    <w:name w:val="Body text|1"/>
    <w:basedOn w:val="1"/>
    <w:qFormat/>
    <w:uiPriority w:val="0"/>
    <w:pPr>
      <w:spacing w:line="418" w:lineRule="auto"/>
    </w:pPr>
    <w:rPr>
      <w:sz w:val="20"/>
      <w:szCs w:val="20"/>
      <w:lang w:val="zh-TW" w:eastAsia="zh-TW" w:bidi="zh-TW"/>
    </w:rPr>
  </w:style>
  <w:style w:type="paragraph" w:customStyle="1" w:styleId="69">
    <w:name w:val="正文正"/>
    <w:basedOn w:val="1"/>
    <w:qFormat/>
    <w:uiPriority w:val="0"/>
    <w:pPr>
      <w:spacing w:line="560" w:lineRule="exact"/>
      <w:ind w:firstLine="561"/>
    </w:pPr>
    <w:rPr>
      <w:rFonts w:ascii="Calibri" w:hAnsi="Calibri"/>
      <w:sz w:val="28"/>
    </w:rPr>
  </w:style>
  <w:style w:type="paragraph" w:customStyle="1" w:styleId="70">
    <w:name w:val="Body text|3"/>
    <w:basedOn w:val="1"/>
    <w:qFormat/>
    <w:uiPriority w:val="0"/>
    <w:pPr>
      <w:spacing w:after="100" w:line="410" w:lineRule="exact"/>
      <w:ind w:firstLine="360"/>
    </w:pPr>
    <w:rPr>
      <w:sz w:val="20"/>
      <w:szCs w:val="20"/>
    </w:rPr>
  </w:style>
  <w:style w:type="paragraph" w:styleId="71">
    <w:name w:val="List Paragraph"/>
    <w:basedOn w:val="1"/>
    <w:qFormat/>
    <w:uiPriority w:val="1"/>
    <w:pPr>
      <w:spacing w:before="161"/>
      <w:ind w:left="1694" w:hanging="317"/>
    </w:pPr>
  </w:style>
  <w:style w:type="paragraph" w:customStyle="1" w:styleId="72">
    <w:name w:val="Header or footer|1"/>
    <w:basedOn w:val="1"/>
    <w:qFormat/>
    <w:uiPriority w:val="0"/>
    <w:rPr>
      <w:sz w:val="17"/>
      <w:szCs w:val="17"/>
      <w:lang w:val="zh-TW" w:eastAsia="zh-TW" w:bidi="zh-TW"/>
    </w:rPr>
  </w:style>
  <w:style w:type="paragraph" w:customStyle="1" w:styleId="73">
    <w:name w:val="Blockquote"/>
    <w:basedOn w:val="1"/>
    <w:qFormat/>
    <w:uiPriority w:val="0"/>
    <w:pPr>
      <w:spacing w:before="100" w:after="100"/>
      <w:ind w:left="360" w:right="360"/>
      <w:jc w:val="both"/>
    </w:pPr>
    <w:rPr>
      <w:kern w:val="2"/>
      <w:szCs w:val="24"/>
    </w:rPr>
  </w:style>
  <w:style w:type="paragraph" w:customStyle="1" w:styleId="74">
    <w:name w:val="图"/>
    <w:basedOn w:val="1"/>
    <w:qFormat/>
    <w:uiPriority w:val="0"/>
    <w:pPr>
      <w:keepNext/>
      <w:adjustRightInd w:val="0"/>
      <w:spacing w:line="300" w:lineRule="auto"/>
      <w:jc w:val="center"/>
      <w:textAlignment w:val="center"/>
    </w:pPr>
    <w:rPr>
      <w:snapToGrid w:val="0"/>
      <w:spacing w:val="20"/>
      <w:sz w:val="24"/>
      <w:szCs w:val="20"/>
    </w:rPr>
  </w:style>
  <w:style w:type="paragraph" w:customStyle="1" w:styleId="75">
    <w:name w:val="Table Paragraph"/>
    <w:basedOn w:val="1"/>
    <w:qFormat/>
    <w:uiPriority w:val="1"/>
  </w:style>
  <w:style w:type="paragraph" w:customStyle="1" w:styleId="76">
    <w:name w:val="Revision"/>
    <w:unhideWhenUsed/>
    <w:qFormat/>
    <w:uiPriority w:val="99"/>
    <w:rPr>
      <w:rFonts w:ascii="宋体" w:hAnsi="宋体" w:eastAsia="宋体" w:cs="宋体"/>
      <w:kern w:val="0"/>
      <w:sz w:val="22"/>
      <w:szCs w:val="2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2517</Words>
  <Characters>14353</Characters>
  <Lines>119</Lines>
  <Paragraphs>33</Paragraphs>
  <TotalTime>9</TotalTime>
  <ScaleCrop>false</ScaleCrop>
  <LinksUpToDate>false</LinksUpToDate>
  <CharactersWithSpaces>16837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2024-03-12T02:50:00Z</dcterms:created>
  <dc:creator>Tm</dc:creator>
  <cp:lastModifiedBy>Administrator</cp:lastModifiedBy>
  <dcterms:modified xsi:type="dcterms:W3CDTF">2025-04-03T09:51:59Z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